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5172A8">
        <w:rPr>
          <w:b/>
          <w:bCs/>
          <w:color w:val="000000" w:themeColor="text1"/>
        </w:rPr>
        <w:t>18</w:t>
      </w:r>
      <w:r w:rsidRPr="00FC5A36">
        <w:rPr>
          <w:b/>
          <w:bCs/>
          <w:color w:val="000000" w:themeColor="text1"/>
        </w:rPr>
        <w:t>/20</w:t>
      </w:r>
      <w:r w:rsidR="005172A8">
        <w:rPr>
          <w:b/>
          <w:bCs/>
          <w:color w:val="000000" w:themeColor="text1"/>
        </w:rPr>
        <w:t>19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5172A8">
        <w:rPr>
          <w:b/>
          <w:bCs/>
          <w:color w:val="000000" w:themeColor="text1"/>
        </w:rPr>
        <w:t>3</w:t>
      </w:r>
      <w:r w:rsidRPr="00FC5A36">
        <w:rPr>
          <w:b/>
          <w:bCs/>
          <w:color w:val="000000" w:themeColor="text1"/>
        </w:rPr>
        <w:t xml:space="preserve"> ROKU STUDIÓW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</w:p>
    <w:p w:rsidR="0013702D" w:rsidRPr="00FC5A36" w:rsidRDefault="005172A8" w:rsidP="00E846C5">
      <w:pPr>
        <w:spacing w:line="360" w:lineRule="auto"/>
        <w:rPr>
          <w:b/>
          <w:bCs/>
          <w:color w:val="000000" w:themeColor="text1"/>
        </w:rPr>
      </w:pPr>
      <w:r w:rsidRPr="002E296E">
        <w:rPr>
          <w:b/>
          <w:bCs/>
          <w:color w:val="003300"/>
          <w:sz w:val="28"/>
        </w:rPr>
        <w:t>Farmakologia i toksykologia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Pr="005172A8" w:rsidRDefault="005172A8" w:rsidP="005172A8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Zakład Farmakologii</w:t>
            </w:r>
          </w:p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5172A8" w:rsidTr="00E846C5">
        <w:tc>
          <w:tcPr>
            <w:tcW w:w="9000" w:type="dxa"/>
          </w:tcPr>
          <w:p w:rsidR="005172A8" w:rsidRPr="002E296E" w:rsidRDefault="005172A8" w:rsidP="005172A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2E296E">
              <w:rPr>
                <w:b/>
                <w:bCs/>
              </w:rPr>
              <w:t xml:space="preserve">Adres: </w:t>
            </w:r>
            <w:r w:rsidRPr="002E296E">
              <w:rPr>
                <w:bCs/>
              </w:rPr>
              <w:t>Rokietnicka 5a,</w:t>
            </w:r>
            <w:r w:rsidRPr="002E296E">
              <w:t>60-806</w:t>
            </w:r>
            <w:r>
              <w:t xml:space="preserve"> </w:t>
            </w:r>
            <w:r w:rsidRPr="002E296E">
              <w:t>Poznań</w:t>
            </w:r>
          </w:p>
          <w:p w:rsidR="005172A8" w:rsidRPr="002E296E" w:rsidRDefault="005172A8" w:rsidP="005172A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2E296E">
              <w:rPr>
                <w:b/>
                <w:bCs/>
              </w:rPr>
              <w:t xml:space="preserve">Tel. /Fax </w:t>
            </w:r>
            <w:r w:rsidRPr="002E296E">
              <w:t>(061) 8547262/(061) 8547253</w:t>
            </w:r>
          </w:p>
          <w:p w:rsidR="005172A8" w:rsidRPr="002E296E" w:rsidRDefault="005172A8" w:rsidP="005172A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2E296E">
              <w:rPr>
                <w:b/>
                <w:bCs/>
              </w:rPr>
              <w:t xml:space="preserve">Strona WWW </w:t>
            </w:r>
            <w:r w:rsidRPr="002E296E">
              <w:t>www.farmakologia.ump.edu.pl</w:t>
            </w:r>
          </w:p>
          <w:p w:rsidR="0013702D" w:rsidRPr="005172A8" w:rsidRDefault="005172A8" w:rsidP="005172A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2E296E">
              <w:rPr>
                <w:b/>
                <w:bCs/>
                <w:lang w:val="en-US"/>
              </w:rPr>
              <w:t xml:space="preserve">E-mail </w:t>
            </w:r>
            <w:hyperlink r:id="rId8" w:history="1">
              <w:r w:rsidRPr="002E296E">
                <w:rPr>
                  <w:rStyle w:val="Hipercze"/>
                  <w:lang w:val="en-US"/>
                </w:rPr>
                <w:t>farmakologia@ump.edu.pl</w:t>
              </w:r>
            </w:hyperlink>
          </w:p>
        </w:tc>
      </w:tr>
    </w:tbl>
    <w:p w:rsidR="0013702D" w:rsidRPr="005172A8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5172A8">
              <w:t xml:space="preserve"> </w:t>
            </w:r>
            <w:r w:rsidR="005172A8" w:rsidRPr="002E296E">
              <w:t>dr hab. Przemysław Mikołajczak, prof.UM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Tr="00282130">
        <w:tc>
          <w:tcPr>
            <w:tcW w:w="9000" w:type="dxa"/>
          </w:tcPr>
          <w:p w:rsidR="005172A8" w:rsidRPr="002E296E" w:rsidRDefault="005172A8" w:rsidP="005172A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296E">
              <w:rPr>
                <w:b/>
                <w:bCs/>
                <w:lang w:eastAsia="en-US"/>
              </w:rPr>
              <w:t xml:space="preserve">Nazwisko - </w:t>
            </w:r>
            <w:r w:rsidRPr="002E296E">
              <w:t>dr hab. med. Marzena Dworacka, prof. UM</w:t>
            </w:r>
          </w:p>
          <w:p w:rsidR="005172A8" w:rsidRPr="002E296E" w:rsidRDefault="005172A8" w:rsidP="005172A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296E">
              <w:rPr>
                <w:b/>
                <w:bCs/>
                <w:lang w:eastAsia="en-US"/>
              </w:rPr>
              <w:t>Tel. kontaktowy:</w:t>
            </w:r>
            <w:r w:rsidRPr="002E296E">
              <w:rPr>
                <w:bCs/>
              </w:rPr>
              <w:t xml:space="preserve"> 61 8547262/49</w:t>
            </w:r>
          </w:p>
          <w:p w:rsidR="005172A8" w:rsidRPr="002E296E" w:rsidRDefault="005172A8" w:rsidP="005172A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296E">
              <w:rPr>
                <w:b/>
                <w:bCs/>
                <w:lang w:eastAsia="en-US"/>
              </w:rPr>
              <w:t>Możliwość kontaktu - konsultacje (dni, godz., miejsce):</w:t>
            </w:r>
            <w:r w:rsidRPr="002E296E">
              <w:rPr>
                <w:bCs/>
              </w:rPr>
              <w:t xml:space="preserve"> czwartki, 12.30-13.30, Rokietnicka 5a</w:t>
            </w:r>
          </w:p>
          <w:p w:rsidR="005172A8" w:rsidRPr="002E296E" w:rsidRDefault="005172A8" w:rsidP="005172A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296E">
              <w:rPr>
                <w:b/>
                <w:bCs/>
                <w:lang w:eastAsia="en-US"/>
              </w:rPr>
              <w:t>E-mail:</w:t>
            </w:r>
            <w:r w:rsidRPr="002E296E">
              <w:rPr>
                <w:bCs/>
                <w:lang w:eastAsia="en-US"/>
              </w:rPr>
              <w:t>mdworac@ump.edu.pl</w:t>
            </w:r>
          </w:p>
          <w:p w:rsidR="005172A8" w:rsidRPr="002E296E" w:rsidRDefault="005172A8" w:rsidP="005172A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Osoby zastępujące</w:t>
            </w:r>
            <w:r w:rsidRPr="002E296E"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lang w:eastAsia="en-US"/>
              </w:rPr>
              <w:t xml:space="preserve"> </w:t>
            </w:r>
            <w:r w:rsidRPr="002F70DB">
              <w:rPr>
                <w:bCs/>
                <w:lang w:eastAsia="en-US"/>
              </w:rPr>
              <w:t xml:space="preserve">dr med. Renata </w:t>
            </w:r>
            <w:proofErr w:type="spellStart"/>
            <w:r w:rsidRPr="002F70DB">
              <w:rPr>
                <w:bCs/>
                <w:lang w:eastAsia="en-US"/>
              </w:rPr>
              <w:t>Forjasz</w:t>
            </w:r>
            <w:proofErr w:type="spellEnd"/>
            <w:r w:rsidRPr="002F70DB">
              <w:rPr>
                <w:bCs/>
                <w:lang w:eastAsia="en-US"/>
              </w:rPr>
              <w:t xml:space="preserve">,   dr med. Iwona Zaporowska-Stachowiak </w:t>
            </w:r>
          </w:p>
          <w:p w:rsidR="004C774E" w:rsidRPr="003F4142" w:rsidRDefault="005172A8" w:rsidP="005172A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296E">
              <w:rPr>
                <w:b/>
                <w:bCs/>
                <w:lang w:eastAsia="en-US"/>
              </w:rPr>
              <w:t>Kontakt:</w:t>
            </w:r>
            <w:r w:rsidRPr="00412822">
              <w:rPr>
                <w:bCs/>
                <w:lang w:eastAsia="en-US"/>
              </w:rPr>
              <w:t xml:space="preserve"> IZS</w:t>
            </w:r>
            <w:r>
              <w:rPr>
                <w:b/>
                <w:bCs/>
                <w:lang w:eastAsia="en-US"/>
              </w:rPr>
              <w:t xml:space="preserve"> – </w:t>
            </w:r>
            <w:hyperlink r:id="rId9" w:history="1">
              <w:r w:rsidRPr="00412822">
                <w:rPr>
                  <w:rStyle w:val="Hipercze"/>
                  <w:bCs/>
                  <w:lang w:eastAsia="en-US"/>
                </w:rPr>
                <w:t>iwozapor@ump.edu.pl</w:t>
              </w:r>
            </w:hyperlink>
            <w:r w:rsidRPr="00412822">
              <w:rPr>
                <w:bCs/>
                <w:lang w:eastAsia="en-US"/>
              </w:rPr>
              <w:t xml:space="preserve">; </w:t>
            </w:r>
            <w:r w:rsidRPr="002E296E">
              <w:rPr>
                <w:bCs/>
              </w:rPr>
              <w:t>środy 13.00-15.00, Roki</w:t>
            </w:r>
            <w:r>
              <w:rPr>
                <w:bCs/>
              </w:rPr>
              <w:t xml:space="preserve">etnicka 5a, tel. 618547262; RF – </w:t>
            </w:r>
            <w:hyperlink r:id="rId10" w:history="1">
              <w:r w:rsidRPr="00313176">
                <w:rPr>
                  <w:rStyle w:val="Hipercze"/>
                  <w:bCs/>
                </w:rPr>
                <w:t>renata_gr@wp.p</w:t>
              </w:r>
            </w:hyperlink>
            <w:r>
              <w:rPr>
                <w:bCs/>
              </w:rPr>
              <w:t>.; czwartki 11.00-13.00</w:t>
            </w:r>
            <w:r w:rsidRPr="002E296E">
              <w:rPr>
                <w:bCs/>
              </w:rPr>
              <w:t xml:space="preserve"> Roki</w:t>
            </w:r>
            <w:r>
              <w:rPr>
                <w:bCs/>
              </w:rPr>
              <w:t>etnicka 5a, tel. 618547262;</w:t>
            </w:r>
          </w:p>
        </w:tc>
      </w:tr>
    </w:tbl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5172A8" w:rsidTr="00E846C5">
        <w:tc>
          <w:tcPr>
            <w:tcW w:w="9000" w:type="dxa"/>
          </w:tcPr>
          <w:p w:rsidR="005172A8" w:rsidRPr="00C509B4" w:rsidRDefault="005172A8" w:rsidP="005172A8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b/>
                <w:bCs/>
                <w:lang w:eastAsia="en-US"/>
              </w:rPr>
            </w:pPr>
            <w:r w:rsidRPr="00C509B4">
              <w:rPr>
                <w:rFonts w:ascii="Calibri" w:hAnsi="Calibri"/>
                <w:b/>
                <w:bCs/>
                <w:lang w:eastAsia="en-US"/>
              </w:rPr>
              <w:t>Nazwisko  imię: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C509B4">
              <w:rPr>
                <w:rFonts w:ascii="Calibri" w:hAnsi="Calibri"/>
                <w:bCs/>
                <w:lang w:eastAsia="en-US"/>
              </w:rPr>
              <w:t>Marzena Dworacka</w:t>
            </w:r>
          </w:p>
          <w:p w:rsidR="005172A8" w:rsidRPr="00C509B4" w:rsidRDefault="005172A8" w:rsidP="005172A8">
            <w:pPr>
              <w:numPr>
                <w:ilvl w:val="0"/>
                <w:numId w:val="17"/>
              </w:numPr>
              <w:spacing w:line="360" w:lineRule="auto"/>
              <w:rPr>
                <w:rFonts w:ascii="Calibri" w:hAnsi="Calibri"/>
                <w:b/>
                <w:bCs/>
                <w:lang w:eastAsia="en-US"/>
              </w:rPr>
            </w:pPr>
            <w:r w:rsidRPr="00C509B4">
              <w:rPr>
                <w:rFonts w:ascii="Calibri" w:hAnsi="Calibri"/>
                <w:b/>
                <w:bCs/>
                <w:lang w:eastAsia="en-US"/>
              </w:rPr>
              <w:t>Tel. kontaktowy:</w:t>
            </w:r>
            <w:r w:rsidRPr="00C509B4">
              <w:rPr>
                <w:bCs/>
              </w:rPr>
              <w:t>61 8547262/49</w:t>
            </w:r>
          </w:p>
          <w:p w:rsidR="0013702D" w:rsidRPr="005172A8" w:rsidRDefault="005172A8" w:rsidP="005172A8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C509B4">
              <w:rPr>
                <w:rFonts w:ascii="Calibri" w:hAnsi="Calibri"/>
                <w:b/>
                <w:bCs/>
                <w:lang w:val="en-US" w:eastAsia="en-US"/>
              </w:rPr>
              <w:t>E-mail:</w:t>
            </w:r>
            <w:r w:rsidRPr="00C509B4">
              <w:rPr>
                <w:bCs/>
                <w:lang w:val="en-US" w:eastAsia="en-US"/>
              </w:rPr>
              <w:t xml:space="preserve"> mdworac@ump.edu.pl</w:t>
            </w:r>
          </w:p>
        </w:tc>
      </w:tr>
    </w:tbl>
    <w:p w:rsidR="0013702D" w:rsidRPr="005172A8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:rsidR="0013702D" w:rsidRPr="005172A8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 w:rsidRPr="005172A8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:rsidR="005172A8" w:rsidRDefault="0013702D" w:rsidP="005172A8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172A8">
        <w:rPr>
          <w:b/>
          <w:bCs/>
        </w:rPr>
        <w:t>Rok: III</w:t>
      </w:r>
    </w:p>
    <w:p w:rsidR="005172A8" w:rsidRDefault="005172A8" w:rsidP="005172A8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 V, VI</w:t>
      </w:r>
    </w:p>
    <w:p w:rsidR="0013702D" w:rsidRDefault="0013702D" w:rsidP="005172A8">
      <w:pPr>
        <w:spacing w:line="360" w:lineRule="auto"/>
        <w:rPr>
          <w:b/>
          <w:bCs/>
          <w:color w:val="003300"/>
        </w:rPr>
      </w:pPr>
    </w:p>
    <w:p w:rsidR="00D37C1F" w:rsidRDefault="00D37C1F" w:rsidP="00E846C5">
      <w:pPr>
        <w:spacing w:line="360" w:lineRule="auto"/>
        <w:rPr>
          <w:b/>
          <w:bCs/>
          <w:color w:val="003300"/>
        </w:rPr>
      </w:pPr>
    </w:p>
    <w:p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>
        <w:rPr>
          <w:b/>
          <w:color w:val="003300"/>
        </w:rPr>
        <w:tab/>
      </w:r>
      <w:r w:rsidR="005172A8">
        <w:rPr>
          <w:b/>
          <w:color w:val="003300"/>
        </w:rPr>
        <w:t>140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5172A8">
        <w:rPr>
          <w:b/>
          <w:color w:val="003300"/>
        </w:rPr>
        <w:t xml:space="preserve"> 12</w:t>
      </w:r>
    </w:p>
    <w:p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5172A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zimowy</w:t>
            </w:r>
          </w:p>
        </w:tc>
        <w:tc>
          <w:tcPr>
            <w:tcW w:w="815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1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2A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  <w:r w:rsidRPr="002E296E">
              <w:t>Katedra i Zakład Farmakologii</w:t>
            </w:r>
          </w:p>
        </w:tc>
        <w:tc>
          <w:tcPr>
            <w:tcW w:w="815" w:type="dxa"/>
          </w:tcPr>
          <w:p w:rsidR="005172A8" w:rsidRDefault="0076283C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69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1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24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5172A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letni</w:t>
            </w:r>
          </w:p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</w:p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2A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  <w:r w:rsidRPr="002E296E">
              <w:t>Katedra i Zakład Farmakologii</w:t>
            </w:r>
          </w:p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5172A8" w:rsidRDefault="0076283C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24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5172A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5172A8" w:rsidRDefault="005172A8" w:rsidP="003A1B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5172A8" w:rsidRDefault="005172A8" w:rsidP="003A1B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72A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5172A8" w:rsidRDefault="005172A8" w:rsidP="003A1B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5172A8" w:rsidRDefault="005172A8" w:rsidP="003A1B7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42</w:t>
            </w:r>
          </w:p>
        </w:tc>
        <w:tc>
          <w:tcPr>
            <w:tcW w:w="669" w:type="dxa"/>
          </w:tcPr>
          <w:p w:rsidR="005172A8" w:rsidRDefault="005172A8" w:rsidP="003A1B7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28</w:t>
            </w:r>
          </w:p>
        </w:tc>
        <w:tc>
          <w:tcPr>
            <w:tcW w:w="651" w:type="dxa"/>
          </w:tcPr>
          <w:p w:rsidR="005172A8" w:rsidRDefault="005172A8" w:rsidP="003A1B7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70</w:t>
            </w:r>
          </w:p>
        </w:tc>
        <w:tc>
          <w:tcPr>
            <w:tcW w:w="1124" w:type="dxa"/>
          </w:tcPr>
          <w:p w:rsidR="005172A8" w:rsidRDefault="005172A8" w:rsidP="003A1B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Pr="00BF21E3" w:rsidRDefault="0013702D" w:rsidP="00BF21E3">
      <w:pPr>
        <w:jc w:val="both"/>
        <w:rPr>
          <w:rFonts w:cs="Tahoma"/>
          <w:color w:val="FF0000"/>
        </w:rPr>
      </w:pPr>
    </w:p>
    <w:p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93E11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C509B4">
              <w:rPr>
                <w:rFonts w:ascii="Calibri" w:eastAsia="Calibri" w:hAnsi="Calibri"/>
                <w:sz w:val="20"/>
                <w:szCs w:val="20"/>
                <w:lang w:eastAsia="en-US"/>
              </w:rPr>
              <w:t>Farmakologia i toksykologia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93E11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509B4">
              <w:rPr>
                <w:rFonts w:ascii="Calibri" w:eastAsia="Calibri" w:hAnsi="Calibri"/>
                <w:sz w:val="20"/>
                <w:szCs w:val="20"/>
                <w:lang w:eastAsia="en-US"/>
              </w:rPr>
              <w:t>Lekarski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II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Nazwa kierunku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93E11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509B4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Lekarski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93E11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509B4">
              <w:rPr>
                <w:rFonts w:ascii="Calibri" w:eastAsia="Calibri" w:hAnsi="Calibri"/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93E11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509B4">
              <w:rPr>
                <w:rFonts w:ascii="Calibri" w:eastAsia="Calibri" w:hAnsi="Calibri"/>
                <w:sz w:val="20"/>
                <w:szCs w:val="20"/>
                <w:lang w:eastAsia="en-US"/>
              </w:rPr>
              <w:t>stacjonarne</w:t>
            </w:r>
          </w:p>
        </w:tc>
      </w:tr>
      <w:tr w:rsidR="0013702D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93E11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="00193E11">
              <w:rPr>
                <w:sz w:val="20"/>
                <w:szCs w:val="20"/>
                <w:lang w:eastAsia="en-US"/>
              </w:rPr>
              <w:t xml:space="preserve"> </w:t>
            </w:r>
            <w:r w:rsidR="00193E11" w:rsidRPr="00FF091D">
              <w:rPr>
                <w:b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 w:rsidR="00193E11">
              <w:rPr>
                <w:sz w:val="20"/>
                <w:szCs w:val="20"/>
                <w:lang w:eastAsia="en-US"/>
              </w:rPr>
              <w:t xml:space="preserve"> </w:t>
            </w:r>
            <w:r w:rsidR="00193E11" w:rsidRPr="00FF091D">
              <w:rPr>
                <w:b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 w:rsidR="00193E11" w:rsidRPr="00FF091D">
              <w:rPr>
                <w:b/>
                <w:sz w:val="20"/>
                <w:szCs w:val="20"/>
                <w:lang w:eastAsia="en-US"/>
              </w:rPr>
              <w:t>X</w:t>
            </w:r>
            <w:r w:rsidRPr="00FF091D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6 </w:t>
            </w:r>
            <w:r w:rsidR="00193E11" w:rsidRPr="00FF091D">
              <w:rPr>
                <w:b/>
                <w:sz w:val="20"/>
                <w:szCs w:val="20"/>
                <w:lang w:eastAsia="en-US"/>
              </w:rPr>
              <w:t>X</w:t>
            </w:r>
            <w:r w:rsidRPr="00FF091D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/>
    <w:tbl>
      <w:tblPr>
        <w:tblW w:w="9214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5836"/>
        <w:gridCol w:w="1134"/>
        <w:gridCol w:w="1134"/>
      </w:tblGrid>
      <w:tr w:rsidR="00F66050" w:rsidTr="00F66050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66050" w:rsidRPr="00A269CE" w:rsidRDefault="00F66050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F66050" w:rsidRPr="00A269CE" w:rsidRDefault="00F66050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efektu</w:t>
            </w:r>
            <w:r w:rsidRPr="00A269CE">
              <w:rPr>
                <w:b/>
                <w:sz w:val="18"/>
                <w:szCs w:val="18"/>
                <w:lang w:eastAsia="en-US"/>
              </w:rPr>
              <w:t xml:space="preserve"> kształcenia</w:t>
            </w:r>
          </w:p>
          <w:p w:rsidR="00F66050" w:rsidRDefault="00F66050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050" w:rsidRDefault="00F66050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F66050" w:rsidRDefault="00F66050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050" w:rsidRPr="00F66050" w:rsidRDefault="00F66050">
            <w:pPr>
              <w:autoSpaceDE w:val="0"/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50">
              <w:rPr>
                <w:b/>
                <w:sz w:val="18"/>
                <w:szCs w:val="18"/>
                <w:lang w:eastAsia="en-US"/>
              </w:rPr>
              <w:t xml:space="preserve">Metody weryfikacji osiągnięcia zamierzonych efektów kształcenia: </w:t>
            </w:r>
          </w:p>
          <w:p w:rsidR="00F66050" w:rsidRDefault="00F66050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6050" w:rsidRPr="00F66050" w:rsidRDefault="00F66050">
            <w:pPr>
              <w:autoSpaceDE w:val="0"/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6050">
              <w:rPr>
                <w:b/>
                <w:sz w:val="18"/>
                <w:szCs w:val="18"/>
                <w:lang w:eastAsia="en-US"/>
              </w:rPr>
              <w:t xml:space="preserve">Odniesienie do </w:t>
            </w:r>
            <w:proofErr w:type="spellStart"/>
            <w:r w:rsidRPr="00F66050">
              <w:rPr>
                <w:b/>
                <w:sz w:val="18"/>
                <w:szCs w:val="18"/>
                <w:lang w:eastAsia="en-US"/>
              </w:rPr>
              <w:t>kierunko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F66050">
              <w:rPr>
                <w:b/>
                <w:sz w:val="18"/>
                <w:szCs w:val="18"/>
                <w:lang w:eastAsia="en-US"/>
              </w:rPr>
              <w:t>wych</w:t>
            </w:r>
            <w:proofErr w:type="spellEnd"/>
            <w:r w:rsidRPr="00F66050">
              <w:rPr>
                <w:b/>
                <w:sz w:val="18"/>
                <w:szCs w:val="18"/>
                <w:lang w:eastAsia="en-US"/>
              </w:rPr>
              <w:t xml:space="preserve"> efektów kształcenia</w:t>
            </w:r>
          </w:p>
        </w:tc>
      </w:tr>
      <w:tr w:rsidR="00F66050" w:rsidTr="00F6605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66050" w:rsidRDefault="00F66050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050" w:rsidRDefault="00F66050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050" w:rsidRDefault="00F6605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6050" w:rsidRDefault="00F6605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93E11" w:rsidTr="007D1C8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93E11" w:rsidRPr="00C509B4" w:rsidRDefault="00193E11" w:rsidP="003A1B75">
            <w:pPr>
              <w:snapToGrid w:val="0"/>
              <w:rPr>
                <w:sz w:val="20"/>
                <w:szCs w:val="20"/>
              </w:rPr>
            </w:pPr>
            <w:r w:rsidRPr="00C509B4">
              <w:rPr>
                <w:sz w:val="20"/>
                <w:szCs w:val="20"/>
              </w:rPr>
              <w:t>W.01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E11" w:rsidRPr="002E296E" w:rsidRDefault="00193E11" w:rsidP="003A1B75">
            <w:pPr>
              <w:snapToGrid w:val="0"/>
              <w:jc w:val="both"/>
            </w:pPr>
            <w:r w:rsidRPr="00C509B4">
              <w:rPr>
                <w:color w:val="000000"/>
              </w:rPr>
              <w:t>charakteryzuje poszczególne grupy środków leczniczych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3E11" w:rsidRPr="00C509B4" w:rsidRDefault="00E826ED" w:rsidP="00E826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Testy cząstkowe, test podsumowujący, egzamin końcowy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3E11" w:rsidRPr="00C509B4" w:rsidRDefault="00193E11" w:rsidP="00C712D3">
            <w:pPr>
              <w:snapToGrid w:val="0"/>
              <w:rPr>
                <w:sz w:val="20"/>
                <w:szCs w:val="20"/>
              </w:rPr>
            </w:pPr>
            <w:r w:rsidRPr="00C509B4">
              <w:rPr>
                <w:sz w:val="20"/>
                <w:szCs w:val="20"/>
              </w:rPr>
              <w:t>C.W34.</w:t>
            </w:r>
          </w:p>
        </w:tc>
      </w:tr>
      <w:tr w:rsidR="00193E11" w:rsidTr="006166B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93E11" w:rsidRPr="002E296E" w:rsidRDefault="00193E11" w:rsidP="003A1B75">
            <w:r>
              <w:t>W.02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E11" w:rsidRPr="00C509B4" w:rsidRDefault="00193E11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główne mechanizmy działania leków oraz ich przemiany w ustroju zależne od wieku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3E11" w:rsidRPr="002E296E" w:rsidRDefault="00E826ED" w:rsidP="00E826ED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3E11" w:rsidRPr="002E296E" w:rsidRDefault="00193E11" w:rsidP="00C712D3">
            <w:r w:rsidRPr="00C509B4">
              <w:rPr>
                <w:sz w:val="20"/>
                <w:szCs w:val="20"/>
              </w:rPr>
              <w:t>C.W35.</w:t>
            </w:r>
          </w:p>
        </w:tc>
      </w:tr>
      <w:tr w:rsidR="00E826ED" w:rsidTr="006166B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W.03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wpływ procesów chorobowych na metabolizm i eliminację leków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4E1ABB">
              <w:t>j.w</w:t>
            </w:r>
            <w:proofErr w:type="spellEnd"/>
            <w:r w:rsidRPr="004E1ABB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C.W36.</w:t>
            </w:r>
          </w:p>
        </w:tc>
      </w:tr>
      <w:tr w:rsidR="00E826ED" w:rsidTr="006166B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W.04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podstawowe zasady farmakoterapii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4E1ABB">
              <w:t>j.w</w:t>
            </w:r>
            <w:proofErr w:type="spellEnd"/>
            <w:r w:rsidRPr="004E1ABB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C.W37.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W.05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ważniejsze działania niepożądane leków, w tym wynikające z ich interakcji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4E1ABB">
              <w:t>j.w</w:t>
            </w:r>
            <w:proofErr w:type="spellEnd"/>
            <w:r w:rsidRPr="004E1ABB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C.W38.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W.06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problem lekooporności, w tym lekooporności wielolekowej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4E1ABB">
              <w:t>j.w</w:t>
            </w:r>
            <w:proofErr w:type="spellEnd"/>
            <w:r w:rsidRPr="004E1ABB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C.W39.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W.07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wskazania do badań genetycznych przeprowadzanych w celu indywidualizacji farmakoterapii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4E1ABB">
              <w:t>j.w</w:t>
            </w:r>
            <w:proofErr w:type="spellEnd"/>
            <w:r w:rsidRPr="004E1ABB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C.W40.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W.08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podstawowe kierunki rozwoju terapii, w szczególności możliwości terapii komórkowej oraz terapii genowej i celowanej w określonych chorobach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4E1ABB">
              <w:t>j.w</w:t>
            </w:r>
            <w:proofErr w:type="spellEnd"/>
            <w:r w:rsidRPr="004E1ABB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C.W41.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W.09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podstawowe pojęcia z zakresu toksykologii ogólnej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152C70">
              <w:t>j.w</w:t>
            </w:r>
            <w:proofErr w:type="spellEnd"/>
            <w:r w:rsidRPr="00152C70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C.W42.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W.10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grupy leków, których nadużywanie może prowadzić do zatruć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152C70">
              <w:t>j.w</w:t>
            </w:r>
            <w:proofErr w:type="spellEnd"/>
            <w:r w:rsidRPr="00152C70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C.W43.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W.11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152C70">
              <w:t>j.w</w:t>
            </w:r>
            <w:proofErr w:type="spellEnd"/>
            <w:r w:rsidRPr="00152C70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C712D3">
            <w:r w:rsidRPr="00C509B4">
              <w:rPr>
                <w:sz w:val="20"/>
                <w:szCs w:val="20"/>
              </w:rPr>
              <w:t>C.W44.</w:t>
            </w:r>
          </w:p>
        </w:tc>
      </w:tr>
      <w:tr w:rsidR="00E826ED" w:rsidTr="006166B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lastRenderedPageBreak/>
              <w:t>W.12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podstawowe zasady postępowania diagnostycznego w zatruciach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152C70">
              <w:t>j.w</w:t>
            </w:r>
            <w:proofErr w:type="spellEnd"/>
            <w:r w:rsidRPr="00152C70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C509B4" w:rsidRDefault="00E826ED" w:rsidP="00C712D3">
            <w:pPr>
              <w:rPr>
                <w:rFonts w:ascii="Calibri" w:eastAsia="Calibri" w:hAnsi="Calibri"/>
                <w:lang w:eastAsia="en-US"/>
              </w:rPr>
            </w:pPr>
            <w:r w:rsidRPr="00C509B4">
              <w:rPr>
                <w:rFonts w:ascii="Calibri" w:eastAsia="Calibri" w:hAnsi="Calibri"/>
                <w:lang w:eastAsia="en-US"/>
              </w:rPr>
              <w:t>C.W45</w:t>
            </w:r>
          </w:p>
        </w:tc>
      </w:tr>
      <w:tr w:rsidR="00E826ED" w:rsidTr="00AD73C2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snapToGrid w:val="0"/>
              <w:rPr>
                <w:sz w:val="20"/>
                <w:szCs w:val="20"/>
              </w:rPr>
            </w:pPr>
            <w:r w:rsidRPr="00C509B4">
              <w:rPr>
                <w:sz w:val="20"/>
                <w:szCs w:val="20"/>
              </w:rPr>
              <w:t>W.01</w:t>
            </w:r>
          </w:p>
        </w:tc>
        <w:tc>
          <w:tcPr>
            <w:tcW w:w="5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  <w:jc w:val="both"/>
            </w:pPr>
            <w:r w:rsidRPr="00C509B4">
              <w:rPr>
                <w:color w:val="000000"/>
              </w:rPr>
              <w:t>charakteryzuje poszczególne grupy środków leczniczych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152C70">
              <w:t>j.w</w:t>
            </w:r>
            <w:proofErr w:type="spellEnd"/>
            <w:r w:rsidRPr="00152C70"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26ED" w:rsidRPr="00C509B4" w:rsidRDefault="00E826ED" w:rsidP="00C712D3">
            <w:pPr>
              <w:snapToGrid w:val="0"/>
              <w:rPr>
                <w:sz w:val="20"/>
                <w:szCs w:val="20"/>
              </w:rPr>
            </w:pPr>
            <w:r w:rsidRPr="00C509B4">
              <w:rPr>
                <w:sz w:val="20"/>
                <w:szCs w:val="20"/>
              </w:rPr>
              <w:t>C.W34.</w:t>
            </w:r>
          </w:p>
        </w:tc>
      </w:tr>
      <w:tr w:rsidR="00193E11" w:rsidTr="00F6605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93E11" w:rsidRDefault="00193E1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E11" w:rsidRDefault="00193E1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3E11" w:rsidRDefault="00193E1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3E11" w:rsidRDefault="00193E1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26ED" w:rsidTr="00B20F5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C509B4" w:rsidRDefault="00E826ED" w:rsidP="003A1B75">
            <w:pPr>
              <w:snapToGrid w:val="0"/>
              <w:rPr>
                <w:sz w:val="20"/>
                <w:szCs w:val="20"/>
              </w:rPr>
            </w:pPr>
            <w:r w:rsidRPr="00C509B4">
              <w:rPr>
                <w:sz w:val="20"/>
                <w:szCs w:val="20"/>
              </w:rPr>
              <w:t>U.01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</w:pPr>
            <w:r w:rsidRPr="00C509B4">
              <w:rPr>
                <w:color w:val="000000"/>
              </w:rPr>
              <w:t>wykonuje proste obliczenia farmakokinetyczne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26ED" w:rsidRPr="00C509B4" w:rsidRDefault="00E826ED" w:rsidP="003A1B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Testy cząstkowe, ocena cząstkowa z zajęć, test podsumowujący, egzamin końcowy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26ED" w:rsidRPr="00C509B4" w:rsidRDefault="00E826ED" w:rsidP="008B791C">
            <w:pPr>
              <w:snapToGrid w:val="0"/>
              <w:rPr>
                <w:sz w:val="20"/>
                <w:szCs w:val="20"/>
              </w:rPr>
            </w:pPr>
            <w:r w:rsidRPr="00C509B4">
              <w:rPr>
                <w:sz w:val="20"/>
                <w:szCs w:val="20"/>
              </w:rPr>
              <w:t>C.U13.</w:t>
            </w:r>
          </w:p>
        </w:tc>
      </w:tr>
      <w:tr w:rsidR="00E826ED" w:rsidTr="006E2E6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U.02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</w:pPr>
            <w:r w:rsidRPr="00C509B4">
              <w:rPr>
                <w:color w:val="000000"/>
              </w:rPr>
              <w:t>dobiera leki w odpowiednich dawkach w celu korygowania zjawisk patologicznych w ustroju i w poszczegól</w:t>
            </w:r>
            <w:r w:rsidRPr="00C509B4">
              <w:rPr>
                <w:color w:val="000000"/>
              </w:rPr>
              <w:softHyphen/>
              <w:t>nych narządach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3A1B75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8B791C">
            <w:r w:rsidRPr="00C509B4">
              <w:rPr>
                <w:sz w:val="20"/>
                <w:szCs w:val="20"/>
              </w:rPr>
              <w:t>C.U14.</w:t>
            </w:r>
          </w:p>
        </w:tc>
      </w:tr>
      <w:tr w:rsidR="00E826ED" w:rsidTr="006E2E6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U.03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</w:pPr>
            <w:r w:rsidRPr="00C509B4">
              <w:rPr>
                <w:color w:val="000000"/>
              </w:rPr>
              <w:t>projektuje schemat racjonalnej chemioterapii zakażeń, empirycznej i celowanej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2B6620">
              <w:t>j.w</w:t>
            </w:r>
            <w:proofErr w:type="spellEnd"/>
            <w:r w:rsidRPr="002B662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8B791C">
            <w:r w:rsidRPr="00C509B4">
              <w:rPr>
                <w:sz w:val="20"/>
                <w:szCs w:val="20"/>
              </w:rPr>
              <w:t>C.U15.</w:t>
            </w:r>
          </w:p>
        </w:tc>
      </w:tr>
      <w:tr w:rsidR="00E826ED" w:rsidTr="006E2E6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U.04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</w:pPr>
            <w:r w:rsidRPr="00C509B4">
              <w:rPr>
                <w:color w:val="000000"/>
              </w:rPr>
              <w:t>poprawnie przygotowuje zapisy wszystkich form recepturowych substancji leczniczych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2B6620">
              <w:t>j.w</w:t>
            </w:r>
            <w:proofErr w:type="spellEnd"/>
            <w:r w:rsidRPr="002B662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8B791C">
            <w:r w:rsidRPr="00C509B4">
              <w:rPr>
                <w:sz w:val="20"/>
                <w:szCs w:val="20"/>
              </w:rPr>
              <w:t>C.U16.</w:t>
            </w:r>
          </w:p>
        </w:tc>
      </w:tr>
      <w:tr w:rsidR="00E826ED" w:rsidTr="006E2E6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U.05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</w:pPr>
            <w:r w:rsidRPr="00C509B4">
              <w:rPr>
                <w:color w:val="000000"/>
              </w:rPr>
              <w:t>posługuje się informatorami farmaceutycznymi i bazami danych o produktach leczniczych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2B6620">
              <w:t>j.w</w:t>
            </w:r>
            <w:proofErr w:type="spellEnd"/>
            <w:r w:rsidRPr="002B662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8B791C">
            <w:r w:rsidRPr="00C509B4">
              <w:rPr>
                <w:sz w:val="20"/>
                <w:szCs w:val="20"/>
              </w:rPr>
              <w:t>C.U17.</w:t>
            </w:r>
          </w:p>
        </w:tc>
      </w:tr>
      <w:tr w:rsidR="00E826ED" w:rsidTr="006E2E6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U.06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</w:pPr>
            <w:r w:rsidRPr="00C509B4">
              <w:rPr>
                <w:color w:val="000000"/>
              </w:rPr>
              <w:t>szacuje niebezpieczeństwo toksykologiczne w określonych grupach wiekowych oraz w stanach niewydolności wątroby i nerek, a także zapobiega zatruciom lekami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2B6620">
              <w:t>j.w</w:t>
            </w:r>
            <w:proofErr w:type="spellEnd"/>
            <w:r w:rsidRPr="002B662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8B791C">
            <w:r w:rsidRPr="00C509B4">
              <w:rPr>
                <w:sz w:val="20"/>
                <w:szCs w:val="20"/>
              </w:rPr>
              <w:t>C.U18.</w:t>
            </w:r>
          </w:p>
        </w:tc>
      </w:tr>
      <w:tr w:rsidR="00E826ED" w:rsidTr="006E2E6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826ED" w:rsidRPr="002E296E" w:rsidRDefault="00E826ED" w:rsidP="003A1B75">
            <w:r>
              <w:t>U.07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2E296E" w:rsidRDefault="00E826ED" w:rsidP="003A1B75">
            <w:pPr>
              <w:snapToGrid w:val="0"/>
            </w:pPr>
            <w:r w:rsidRPr="00C509B4">
              <w:rPr>
                <w:color w:val="000000"/>
              </w:rPr>
              <w:t>interpretuje wyniki badań toksykologicznych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 w:rsidP="00E826ED">
            <w:pPr>
              <w:jc w:val="center"/>
            </w:pPr>
            <w:proofErr w:type="spellStart"/>
            <w:r w:rsidRPr="002B6620">
              <w:t>j.w</w:t>
            </w:r>
            <w:proofErr w:type="spellEnd"/>
            <w:r w:rsidRPr="002B662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Pr="002E296E" w:rsidRDefault="00E826ED" w:rsidP="008B791C">
            <w:r w:rsidRPr="00C509B4">
              <w:rPr>
                <w:sz w:val="20"/>
                <w:szCs w:val="20"/>
              </w:rPr>
              <w:t>C.U19.</w:t>
            </w:r>
          </w:p>
        </w:tc>
      </w:tr>
      <w:tr w:rsidR="00E826ED" w:rsidTr="00F6605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FF091D" w:rsidRDefault="00E826E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F091D"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26ED" w:rsidTr="00F6605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K.01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Pr="00FF091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F091D">
              <w:rPr>
                <w:sz w:val="20"/>
                <w:szCs w:val="20"/>
                <w:lang w:eastAsia="en-US"/>
              </w:rPr>
              <w:t>Posiada umiejętność stałego dokształcania się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K.03</w:t>
            </w:r>
          </w:p>
        </w:tc>
      </w:tr>
      <w:tr w:rsidR="00E826ED" w:rsidTr="00F6605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K.02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Stawia dobro pacjenta oraz grup społecznych na pierwszym miejscu i okazuje szacunek wobec pacjenta oraz grup społecznych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26ED" w:rsidRDefault="00E826E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K.05</w:t>
            </w:r>
          </w:p>
        </w:tc>
      </w:tr>
    </w:tbl>
    <w:p w:rsidR="0013702D" w:rsidRDefault="0013702D" w:rsidP="00E846C5">
      <w:pPr>
        <w:autoSpaceDE w:val="0"/>
      </w:pPr>
    </w:p>
    <w:p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E669E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E826ED">
        <w:rPr>
          <w:b/>
          <w:color w:val="000000" w:themeColor="text1"/>
        </w:rPr>
        <w:t xml:space="preserve">WPROWADZENIE DO </w:t>
      </w:r>
      <w:r w:rsidR="00BF21E3" w:rsidRPr="00E826ED">
        <w:rPr>
          <w:b/>
          <w:color w:val="000000" w:themeColor="text1"/>
        </w:rPr>
        <w:t>PRZEDMIOTU/</w:t>
      </w:r>
      <w:r w:rsidR="00BE4DDF" w:rsidRPr="00E826ED">
        <w:rPr>
          <w:b/>
          <w:color w:val="000000" w:themeColor="text1"/>
        </w:rPr>
        <w:t>MODUŁU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Tr="00D37C1F">
        <w:tc>
          <w:tcPr>
            <w:tcW w:w="9140" w:type="dxa"/>
          </w:tcPr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E826ED" w:rsidP="008B3136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8B3136">
              <w:rPr>
                <w:sz w:val="22"/>
                <w:szCs w:val="22"/>
              </w:rPr>
              <w:t>Wymagana jest wiedza z zakresu anatomii, fizjologii, patofizjologii, biochemii i patomorfologii w zakresie obowiązującym dla studentów kierunku lekarskiego. Student powinien umieć posługiwać się wiedzą obejmującą wymienione dyscypliny w kontek</w:t>
            </w:r>
            <w:r w:rsidR="008B3136" w:rsidRPr="008B3136">
              <w:rPr>
                <w:sz w:val="22"/>
                <w:szCs w:val="22"/>
              </w:rPr>
              <w:t xml:space="preserve">ście </w:t>
            </w:r>
            <w:r w:rsidRPr="008B3136">
              <w:rPr>
                <w:sz w:val="22"/>
                <w:szCs w:val="22"/>
              </w:rPr>
              <w:t>analizowania i zrozumienia mechanizmów działania leków, działania farmakologicznego, zastosowania i działań niepożądanych.</w:t>
            </w:r>
          </w:p>
          <w:p w:rsidR="004C774E" w:rsidRPr="008B3136" w:rsidRDefault="008B3136" w:rsidP="008B3136">
            <w:pPr>
              <w:pStyle w:val="Tekstpodstawowy2"/>
              <w:rPr>
                <w:b w:val="0"/>
                <w:bCs w:val="0"/>
                <w:sz w:val="24"/>
                <w:lang w:eastAsia="en-US"/>
              </w:rPr>
            </w:pPr>
            <w:r w:rsidRPr="008D4745">
              <w:rPr>
                <w:bCs w:val="0"/>
                <w:sz w:val="24"/>
                <w:lang w:eastAsia="en-US"/>
              </w:rPr>
              <w:t>Przygotowanie do zajęć</w:t>
            </w:r>
            <w:r w:rsidRPr="008D4745">
              <w:rPr>
                <w:b w:val="0"/>
                <w:bCs w:val="0"/>
                <w:sz w:val="24"/>
                <w:lang w:eastAsia="en-US"/>
              </w:rPr>
              <w:t>:  Znajomość podstaw farmakologii i farmakoterapii zgodna z sylabusem umożliwiająca analizę i dyskutowanie poszczególnych zagadnień. Znajomość podstawowych zagadnień farmakologicznych omawianych na wszystkich poprzedzających zajęciach, umiejętność odwołania się do wcześniej nabytej wiedzy.</w:t>
            </w:r>
          </w:p>
        </w:tc>
      </w:tr>
    </w:tbl>
    <w:p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:rsidR="00BE4DDF" w:rsidRPr="00FC5A36" w:rsidRDefault="00D37C1F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Pr="00FC5A36">
        <w:rPr>
          <w:b/>
          <w:color w:val="000000" w:themeColor="text1"/>
          <w:sz w:val="22"/>
          <w:szCs w:val="22"/>
        </w:rPr>
        <w:t xml:space="preserve">, przygotowuje </w:t>
      </w:r>
      <w:r w:rsidR="00BF21E3" w:rsidRPr="00FC5A36">
        <w:rPr>
          <w:b/>
          <w:color w:val="000000" w:themeColor="text1"/>
          <w:sz w:val="22"/>
          <w:szCs w:val="22"/>
        </w:rPr>
        <w:br/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="00BF21E3" w:rsidRPr="00FC5A36">
        <w:rPr>
          <w:b/>
          <w:color w:val="000000" w:themeColor="text1"/>
          <w:sz w:val="22"/>
          <w:szCs w:val="22"/>
        </w:rPr>
        <w:br/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EF4080" w:rsidTr="00902117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F4080" w:rsidRPr="002E296E" w:rsidRDefault="00EF4080" w:rsidP="00EF4080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</w:p>
        </w:tc>
      </w:tr>
      <w:tr w:rsidR="00BF21E3" w:rsidTr="00902117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:rsidR="00950530" w:rsidRPr="00610D49" w:rsidRDefault="007E5B68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610D49">
              <w:rPr>
                <w:color w:val="000000" w:themeColor="text1"/>
                <w:lang w:eastAsia="en-US"/>
              </w:rPr>
              <w:t>Każdy z wykładów – 2 h</w:t>
            </w:r>
            <w:r w:rsidR="00950530" w:rsidRPr="00610D49">
              <w:rPr>
                <w:color w:val="000000" w:themeColor="text1"/>
                <w:highlight w:val="yellow"/>
                <w:lang w:eastAsia="en-US"/>
              </w:rPr>
              <w:t xml:space="preserve"> </w:t>
            </w:r>
          </w:p>
          <w:tbl>
            <w:tblPr>
              <w:tblW w:w="9322" w:type="dxa"/>
              <w:tblLayout w:type="fixed"/>
              <w:tblLook w:val="01E0" w:firstRow="1" w:lastRow="1" w:firstColumn="1" w:lastColumn="1" w:noHBand="0" w:noVBand="0"/>
            </w:tblPr>
            <w:tblGrid>
              <w:gridCol w:w="9322"/>
            </w:tblGrid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Podstawy farmakologii.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EF4080">
                    <w:rPr>
                      <w:bCs/>
                    </w:rPr>
                    <w:t>Opioidowe leki  przeciwbólowe.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EF4080">
                    <w:rPr>
                      <w:bCs/>
                    </w:rPr>
                    <w:t>Nieopioidowe leki  przeciwbólowe i niesteroidowe leki przeciwzapalne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EF4080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  <w:rPr>
                      <w:bCs/>
                    </w:rPr>
                  </w:pPr>
                  <w:r w:rsidRPr="002E296E">
                    <w:t>Leki stosowane w chorobie Parkinsona. Środki przeciwdrgawkowe.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165D47">
                    <w:t>Środki wpływające na krzepnięcie krwi.</w:t>
                  </w:r>
                </w:p>
              </w:tc>
            </w:tr>
            <w:tr w:rsidR="00EF4080" w:rsidRPr="00165D47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165D47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Indywidualizacja farmakoterapii –</w:t>
                  </w:r>
                  <w:proofErr w:type="spellStart"/>
                  <w:r w:rsidRPr="002E296E">
                    <w:t>farmakogenetyka</w:t>
                  </w:r>
                  <w:proofErr w:type="spellEnd"/>
                  <w:r w:rsidRPr="002E296E">
                    <w:t>.</w:t>
                  </w:r>
                </w:p>
              </w:tc>
            </w:tr>
            <w:tr w:rsidR="00EF4080" w:rsidRPr="00165D47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165D47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 xml:space="preserve">Leki stosowane w leczeniu astmy i </w:t>
                  </w:r>
                  <w:proofErr w:type="spellStart"/>
                  <w:r w:rsidRPr="002E296E">
                    <w:t>POChP</w:t>
                  </w:r>
                  <w:proofErr w:type="spellEnd"/>
                  <w:r w:rsidRPr="002E296E">
                    <w:t>.</w:t>
                  </w:r>
                </w:p>
              </w:tc>
            </w:tr>
            <w:tr w:rsidR="00EF4080" w:rsidRPr="00165D47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165D47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Środki wpływające na homeostazę kostno-mineralną. Leki stosowane w leczeniu dny moczanowej.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Terapie genowe i komórkowe.</w:t>
                  </w:r>
                </w:p>
              </w:tc>
            </w:tr>
            <w:tr w:rsidR="00EF4080" w:rsidRPr="00165D47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165D47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Leki stosowane w leczeniu niewydolności serca.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Leki stosowane w leczeniu nadciśnienia tętniczego.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Wprowadzenie do chemioterapii zakażeń.</w:t>
                  </w:r>
                  <w:r w:rsidRPr="00EF4080">
                    <w:rPr>
                      <w:bCs/>
                    </w:rPr>
                    <w:t xml:space="preserve"> Zasady </w:t>
                  </w:r>
                  <w:r w:rsidRPr="002E296E">
                    <w:t>prowadzenia chemioterapii zakażeń empirycznej i celowanej.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 xml:space="preserve">Leki </w:t>
                  </w:r>
                  <w:proofErr w:type="spellStart"/>
                  <w:r w:rsidRPr="002E296E">
                    <w:t>przeciwinfekcyjne</w:t>
                  </w:r>
                  <w:proofErr w:type="spellEnd"/>
                  <w:r w:rsidRPr="002E296E">
                    <w:t xml:space="preserve"> stosowane w leczeniu zakażeń układu oddechowego.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shd w:val="clear" w:color="auto" w:fill="auto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Leki stosowane w leczeniu cukrzycy.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EF4080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  <w:rPr>
                      <w:bCs/>
                    </w:rPr>
                  </w:pPr>
                  <w:r w:rsidRPr="002E296E">
                    <w:t>Środki przeciwnowotworowe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Zasady farmakoterapii bólu.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Zasady stosowania leków u kobiet w ciąży i u karmiących.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>
                    <w:t xml:space="preserve">Zasady stosowania leków u </w:t>
                  </w:r>
                  <w:r w:rsidRPr="002E296E">
                    <w:t xml:space="preserve"> dzieci i u osób w podeszłym wieku.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 xml:space="preserve">Podstawy toksykologii .Pierwsza pomoc w zatruciach. Antidota. Toksykologia niektórych pestycydów i gazów. 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Toksykologia rozpuszczalników. Toksykologia niektórych metali ciężkich.</w:t>
                  </w:r>
                </w:p>
              </w:tc>
            </w:tr>
            <w:tr w:rsidR="00EF4080" w:rsidRPr="002E296E" w:rsidTr="003A1B75">
              <w:tc>
                <w:tcPr>
                  <w:tcW w:w="6095" w:type="dxa"/>
                  <w:vAlign w:val="center"/>
                </w:tcPr>
                <w:p w:rsidR="00EF4080" w:rsidRPr="002E296E" w:rsidRDefault="00EF4080" w:rsidP="00EF4080">
                  <w:pPr>
                    <w:pStyle w:val="Akapitzlist"/>
                    <w:numPr>
                      <w:ilvl w:val="0"/>
                      <w:numId w:val="18"/>
                    </w:numPr>
                    <w:spacing w:line="360" w:lineRule="auto"/>
                  </w:pPr>
                  <w:r w:rsidRPr="002E296E">
                    <w:t>Zatrucia wybranymi lekami. Uzależnienia lekowe.</w:t>
                  </w:r>
                </w:p>
              </w:tc>
            </w:tr>
          </w:tbl>
          <w:p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7E5B68" w:rsidRDefault="007E5B68" w:rsidP="007E5B68">
            <w:pPr>
              <w:pStyle w:val="Akapitzlist"/>
              <w:numPr>
                <w:ilvl w:val="0"/>
                <w:numId w:val="20"/>
              </w:numPr>
            </w:pPr>
            <w:r w:rsidRPr="002E296E">
              <w:t xml:space="preserve">Środki </w:t>
            </w:r>
            <w:proofErr w:type="spellStart"/>
            <w:r w:rsidRPr="002E296E">
              <w:t>przeciwpsychotyczne</w:t>
            </w:r>
            <w:proofErr w:type="spellEnd"/>
            <w:r w:rsidRPr="002E296E">
              <w:t xml:space="preserve">. Środki </w:t>
            </w:r>
            <w:proofErr w:type="spellStart"/>
            <w:r w:rsidRPr="002E296E">
              <w:t>przeciwlękowe</w:t>
            </w:r>
            <w:proofErr w:type="spellEnd"/>
            <w:r w:rsidRPr="002E296E">
              <w:t>, uspokajające i nasenne.</w:t>
            </w:r>
            <w:r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0"/>
              </w:numPr>
            </w:pPr>
            <w:r>
              <w:t>Leki przeciwdepresyjne.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0"/>
              </w:numPr>
            </w:pPr>
            <w:r>
              <w:t>Środki znieczulające miejscowo, leki pobudzające zakończenia czuciowe. Środki do znieczulenia ogólnego. Środki zwiotczające mięśnie szkieletowe działające obwodowo. 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 xml:space="preserve">Środki przeciwbólowe: </w:t>
            </w:r>
            <w:proofErr w:type="spellStart"/>
            <w:r>
              <w:t>opioidy</w:t>
            </w:r>
            <w:proofErr w:type="spellEnd"/>
            <w:r>
              <w:t xml:space="preserve"> i antagoniści receptora opioidowego, nieopioidowe środki przeciwbólowe, niesteroidowe leki przeciwzapalne.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0"/>
              </w:numPr>
            </w:pPr>
            <w:r>
              <w:t xml:space="preserve">Leki moczopędne. Glikozydy nasercowe i inne leki działające </w:t>
            </w:r>
            <w:proofErr w:type="spellStart"/>
            <w:r>
              <w:t>inotropowo</w:t>
            </w:r>
            <w:proofErr w:type="spellEnd"/>
            <w:r>
              <w:t xml:space="preserve"> dodatnio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0"/>
              </w:numPr>
            </w:pPr>
            <w:r>
              <w:t>Leki stosowane w zaburzeniach rytmu serca. Leki przeciwhistaminowe.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0"/>
              </w:numPr>
            </w:pPr>
            <w:r>
              <w:t xml:space="preserve">Leki stosowane w chorobie niedokrwiennej serca. Leki stosowane w zaburzeniach ukrwienia obwodowego. </w:t>
            </w:r>
            <w:r w:rsidR="00610D49">
              <w:t>3h</w:t>
            </w:r>
          </w:p>
          <w:p w:rsidR="00610D49" w:rsidRDefault="007E5B68" w:rsidP="00610D49">
            <w:pPr>
              <w:pStyle w:val="Akapitzlist"/>
              <w:numPr>
                <w:ilvl w:val="0"/>
                <w:numId w:val="20"/>
              </w:numPr>
            </w:pPr>
            <w:r>
              <w:t xml:space="preserve">Leki stosowane w nadciśnieniu tętniczym. </w:t>
            </w:r>
            <w:r w:rsidR="00610D49">
              <w:t>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0"/>
              </w:numPr>
            </w:pPr>
            <w:r>
              <w:t xml:space="preserve">Leki stosowane w chorobie wrzodowej żołądka i dwunastnicy. Leki </w:t>
            </w:r>
            <w:proofErr w:type="spellStart"/>
            <w:r>
              <w:t>przeciwwymiotne.Leki</w:t>
            </w:r>
            <w:proofErr w:type="spellEnd"/>
            <w:r>
              <w:t xml:space="preserve"> przeczyszczające i przeciwbiegunkowe, </w:t>
            </w:r>
            <w:proofErr w:type="spellStart"/>
            <w:r>
              <w:t>przeciwrobacze</w:t>
            </w:r>
            <w:proofErr w:type="spellEnd"/>
            <w:r>
              <w:t>. – 2h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0"/>
              </w:numPr>
            </w:pPr>
            <w:r>
              <w:t xml:space="preserve">Leki stosowane w leczeniu astmy i innych schorzeń przebiegających z </w:t>
            </w:r>
            <w:proofErr w:type="spellStart"/>
            <w:r>
              <w:t>obturacją</w:t>
            </w:r>
            <w:proofErr w:type="spellEnd"/>
            <w:r>
              <w:t xml:space="preserve"> oskrzeli. Leki przeciwkaszlowe i leki wykrztuśne. – 2h</w:t>
            </w:r>
          </w:p>
          <w:p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 xml:space="preserve">Recepta, części recepty, niezgodności recepturowe, skróty, postacie leków. Zasady wypisywania recept i korzystania z baz danych o środkach leczniczych. Losy leków w ustroju - wchłanianie, transport, wiązanie z białkami, biotransformacja, wydalanie, wpływ </w:t>
            </w:r>
            <w:proofErr w:type="spellStart"/>
            <w:r>
              <w:t>pKa</w:t>
            </w:r>
            <w:proofErr w:type="spellEnd"/>
            <w:r>
              <w:t xml:space="preserve">. </w:t>
            </w:r>
            <w:r w:rsidR="00610D49">
              <w:t>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Środki wpływające na autonomiczny układ nerwowy.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Leki wpływające na krzepnięcie krwi.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Chemioterapia zakażeń I: antybiotyki beta-</w:t>
            </w:r>
            <w:proofErr w:type="spellStart"/>
            <w:r>
              <w:t>laktamowe</w:t>
            </w:r>
            <w:proofErr w:type="spellEnd"/>
            <w:r>
              <w:t xml:space="preserve">, </w:t>
            </w:r>
            <w:proofErr w:type="spellStart"/>
            <w:r>
              <w:t>makrolidy</w:t>
            </w:r>
            <w:proofErr w:type="spellEnd"/>
            <w:r>
              <w:t xml:space="preserve">, </w:t>
            </w:r>
            <w:proofErr w:type="spellStart"/>
            <w:r>
              <w:t>ketolidy</w:t>
            </w:r>
            <w:proofErr w:type="spellEnd"/>
            <w:r>
              <w:t xml:space="preserve">, </w:t>
            </w:r>
            <w:proofErr w:type="spellStart"/>
            <w:r>
              <w:t>linkozamidy</w:t>
            </w:r>
            <w:proofErr w:type="spellEnd"/>
            <w:r>
              <w:t>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 xml:space="preserve">Chemioterapia zakażeń II: tetracykliny, </w:t>
            </w:r>
            <w:proofErr w:type="spellStart"/>
            <w:r>
              <w:t>glicylocykliny</w:t>
            </w:r>
            <w:proofErr w:type="spellEnd"/>
            <w:r>
              <w:t xml:space="preserve">, </w:t>
            </w:r>
            <w:proofErr w:type="spellStart"/>
            <w:r>
              <w:t>streptograminy</w:t>
            </w:r>
            <w:proofErr w:type="spellEnd"/>
            <w:r>
              <w:t xml:space="preserve">, </w:t>
            </w:r>
            <w:proofErr w:type="spellStart"/>
            <w:r>
              <w:t>oksazolidynony</w:t>
            </w:r>
            <w:proofErr w:type="spellEnd"/>
            <w:r>
              <w:t xml:space="preserve">, </w:t>
            </w:r>
            <w:proofErr w:type="spellStart"/>
            <w:r>
              <w:t>chloramfenikol,aminoglikozydy</w:t>
            </w:r>
            <w:proofErr w:type="spellEnd"/>
            <w:r>
              <w:t xml:space="preserve">, </w:t>
            </w:r>
            <w:proofErr w:type="spellStart"/>
            <w:r>
              <w:t>chinolony</w:t>
            </w:r>
            <w:proofErr w:type="spellEnd"/>
            <w:r>
              <w:t xml:space="preserve">, </w:t>
            </w:r>
            <w:proofErr w:type="spellStart"/>
            <w:r>
              <w:t>glikopeptydy</w:t>
            </w:r>
            <w:proofErr w:type="spellEnd"/>
            <w:r>
              <w:t xml:space="preserve">, </w:t>
            </w:r>
            <w:proofErr w:type="spellStart"/>
            <w:r>
              <w:t>polimyksyny,sulfonamidy</w:t>
            </w:r>
            <w:proofErr w:type="spellEnd"/>
            <w:r>
              <w:t>, pochodne imidazolu, pochodne furanu. Środki odkażające</w:t>
            </w:r>
            <w:r w:rsidR="00610D49">
              <w:t>.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 xml:space="preserve">Chemioterapia zakażeń III: leki przeciwwirusowe (leki stosowane w zakażeniach 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, leki przeciwgrypowe i stosowane  w leczeniu zakażeń HIV, leki stosowane w leczeniu wirusowego zapalenia wątroby). Leki przeciwmalaryczne.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Chemioterapia zakażeń IV: leki przeciwgrzybicze, leki przeciwgruźlicze.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Niektóre hormony i analogi hormonów podwzgórza, przysadki mózgowej. Hormony tarczycy i przytarczyc stosowane w terapii. Leki stosowane w nadczynności tarczycy.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Hormony i analogi hormonów nadnerczy stosowane w terapii.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Hormony wysp trzustki i ich analogi. Doustne leki przeciwcukrzycowe</w:t>
            </w:r>
            <w:r w:rsidR="00610D49">
              <w:t>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Hormony płciowe i ich analogii, hormonalna terapia zastępcza,</w:t>
            </w:r>
            <w:r w:rsidR="000F54FF">
              <w:t xml:space="preserve"> </w:t>
            </w:r>
            <w:r>
              <w:t>doustne środki antykoncepcyjne, sterydy anaboliczne.</w:t>
            </w:r>
            <w:r w:rsidR="00610D49">
              <w:t xml:space="preserve">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Leki stosowane w leczeniu  zakażeń układu oddechowego, za</w:t>
            </w:r>
            <w:r w:rsidR="000F54FF">
              <w:t xml:space="preserve">każeń układu moczowo-płciowego. </w:t>
            </w:r>
            <w:r>
              <w:t>Analiza przypadków klinicznych – ćwiczenia w doborze optymalnej farmakoterapii.</w:t>
            </w:r>
            <w:r w:rsidR="00610D49">
              <w:t xml:space="preserve"> – 3h</w:t>
            </w:r>
          </w:p>
          <w:p w:rsidR="000F54FF" w:rsidRDefault="000F54FF" w:rsidP="000F54FF">
            <w:pPr>
              <w:pStyle w:val="Akapitzlist"/>
              <w:numPr>
                <w:ilvl w:val="0"/>
                <w:numId w:val="21"/>
              </w:numPr>
            </w:pPr>
            <w:r>
              <w:t>Leki stosowane w leczeniu  zakażeń układu nerwowego, skóry i tkanki podskórnej, kości, układu pokarmowego. Analiza przypadków klinicznych – ćwiczenia w doborze optymalnej farmakoterapii. – 3h</w:t>
            </w:r>
          </w:p>
          <w:p w:rsidR="007E5B68" w:rsidRDefault="007E5B68" w:rsidP="007E5B68">
            <w:pPr>
              <w:pStyle w:val="Akapitzlist"/>
              <w:numPr>
                <w:ilvl w:val="0"/>
                <w:numId w:val="21"/>
              </w:numPr>
            </w:pPr>
            <w:r>
              <w:t>Leki stosowane w niedokrwistościach z niedoboru żelaza, witaminy B12 i kwasu foliowego</w:t>
            </w:r>
            <w:r w:rsidR="00610D49">
              <w:t>– 3h</w:t>
            </w:r>
            <w:r>
              <w:t>.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>Farmakologia leków stosowanych w wybranych stanach nagłych– 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 xml:space="preserve">Leki stosowane w </w:t>
            </w:r>
            <w:proofErr w:type="spellStart"/>
            <w:r>
              <w:t>hiperlipoproteinemiach</w:t>
            </w:r>
            <w:proofErr w:type="spellEnd"/>
            <w:r>
              <w:t>. Leki immunomodulujące. – 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>Środki przeciwnowotworowe– 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>Leki stosowane w napadach bólowych, kolkach, bólach przewlekłych i w leczeniu migreny. – 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>Leki roślinne i ich zastosowanie w leczeniu wybranych schorzeń. – 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>Toksykologia niektórych pestycydów, metali ciężkich, rozpuszczalników i gazów. Pierwsza pomoc w zatruciach– 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>Zatrucia substancjami pochodzenia naturalnego.  Zatrucia środkami żrącymi. Uzależnienia lekowe – analiza przypadków. – 3h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lastRenderedPageBreak/>
              <w:t xml:space="preserve">Toksyczność wybranych leków. Postępowanie w zatruciach. Antidota. – </w:t>
            </w:r>
            <w:r w:rsidR="000F54FF">
              <w:t>3</w:t>
            </w:r>
            <w:r>
              <w:t>h</w:t>
            </w:r>
          </w:p>
          <w:p w:rsidR="00610D49" w:rsidRDefault="00610D49" w:rsidP="00610D49">
            <w:pPr>
              <w:pStyle w:val="Akapitzlist"/>
              <w:numPr>
                <w:ilvl w:val="0"/>
                <w:numId w:val="21"/>
              </w:numPr>
            </w:pPr>
            <w:r>
              <w:t>Indywidualizacja farmakoterapii – farmakokinetyka w praktyce. – 2h</w:t>
            </w:r>
          </w:p>
          <w:p w:rsidR="000F54FF" w:rsidRDefault="000F54FF" w:rsidP="000F54FF">
            <w:pPr>
              <w:pStyle w:val="Akapitzlist"/>
              <w:numPr>
                <w:ilvl w:val="0"/>
                <w:numId w:val="21"/>
              </w:numPr>
            </w:pPr>
            <w:r>
              <w:t>Powtórzenie terminologii, dawek i recept. Test podsumowujący. – 2h</w:t>
            </w:r>
          </w:p>
          <w:p w:rsidR="008B3136" w:rsidRDefault="008B3136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:rsidR="008B3136" w:rsidRPr="002E296E" w:rsidRDefault="008B3136" w:rsidP="008B3136">
            <w:pPr>
              <w:autoSpaceDE w:val="0"/>
              <w:autoSpaceDN w:val="0"/>
              <w:adjustRightInd w:val="0"/>
              <w:jc w:val="both"/>
            </w:pPr>
            <w:r w:rsidRPr="002E296E">
              <w:t>Na wykładach studenci zapoznają się z podstawami farmakologii i toksykologii, a także z farmakologią szczegółową wybranych grup leków. Tematyka wykładów obejmuje również zasady prowadzenia farmakoterapii najczęściej spotykanych schorzeń.</w:t>
            </w:r>
          </w:p>
          <w:p w:rsidR="008B3136" w:rsidRPr="002E296E" w:rsidRDefault="008B3136" w:rsidP="008B3136">
            <w:pPr>
              <w:autoSpaceDE w:val="0"/>
              <w:autoSpaceDN w:val="0"/>
              <w:adjustRightInd w:val="0"/>
              <w:jc w:val="both"/>
            </w:pPr>
            <w:r w:rsidRPr="002E296E">
              <w:t>Podczas ćwiczeń studenci będą poszerzać wiedzę zarówno z zakresu farmakologii podstawowej, jak i szczegółowej, odbywać ćwiczenia praktyczne prawidłowego wyboru i przepisywania leków na receptach, ćwiczenia obejmujące analizę przypadków klinicznych z zakresu farmakoterapii najczęściej spotykanych schorzeń przewlekłych, antybiotykoterapii oraz farmakoterapii stanów zagrożenia życia, jak również ćwiczenia doskonalące umiejętność  dokonywania podstawowych obliczeń farmakokinetycznych. Celem tych zajęć jest zrozumienie mechanizmów działania leków i ich wykorzystania w terapii oraz zdobycie umiejętności praktycznego zastosowania posiadanej wiedzy.</w:t>
            </w:r>
          </w:p>
          <w:p w:rsidR="00BF21E3" w:rsidRDefault="008B3136" w:rsidP="008B3136">
            <w:pPr>
              <w:autoSpaceDE w:val="0"/>
              <w:snapToGrid w:val="0"/>
              <w:spacing w:line="254" w:lineRule="auto"/>
              <w:jc w:val="both"/>
            </w:pPr>
            <w:r w:rsidRPr="002E296E">
              <w:t>Po ukończeniu kursu student powinien posiadać podstawowy zakres wiedzy na temat leków a także umiejętność wyboru właściwej dla danego schorzenia farmakoterapii.</w:t>
            </w:r>
          </w:p>
          <w:p w:rsidR="008B3136" w:rsidRPr="0045753C" w:rsidRDefault="008B3136" w:rsidP="008B31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B3136">
              <w:rPr>
                <w:b/>
                <w:bCs/>
                <w:lang w:eastAsia="en-US"/>
              </w:rPr>
              <w:t>Wymagania końcowe:</w:t>
            </w:r>
            <w:r w:rsidRPr="008B3136">
              <w:rPr>
                <w:bCs/>
                <w:lang w:eastAsia="en-US"/>
              </w:rPr>
              <w:t xml:space="preserve"> Umiejętność przygotowania zapisu wszystkich form recepturowych substancji leczniczych oraz doboru leku w odpowiednich dawkach w celu korygowania zjawisk patologicznych w ustroju i w poszczególnych narządach, umiejętność zaprojektowania chemioterapii zakażeń; znajomość dawkowania wybranych leków, zwłaszcza leków stosowanych w stanach pilnych i naglących; znajomość najczęściej występujących działań niepożądanych leków oraz istotnych klinicznie interakcji, rozpoznawanie zatrucia lekami i niektórymi substancjami stosowanymi w przemyśle, rolnictwie i gospodarstwie domowym, umiejętność interpretacji wyników badań toksykologicznych oraz znajomość zasad postępowania w przypadkach zatruć. Umiejętność posługiwania się informatorami farmaceutycznymi i bazami danych o produktach leczniczych</w:t>
            </w:r>
          </w:p>
        </w:tc>
      </w:tr>
      <w:tr w:rsidR="00BF21E3" w:rsidTr="00902117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</w:p>
          <w:p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902117" w:rsidTr="00902117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902117" w:rsidRPr="00902117" w:rsidRDefault="00902117" w:rsidP="00902117">
            <w:pPr>
              <w:pStyle w:val="Akapitzlist"/>
              <w:numPr>
                <w:ilvl w:val="0"/>
                <w:numId w:val="23"/>
              </w:numPr>
              <w:outlineLvl w:val="0"/>
            </w:pPr>
            <w:r w:rsidRPr="00902117">
              <w:t xml:space="preserve">Materiały dydaktyczne umieszczane na stronie </w:t>
            </w:r>
            <w:hyperlink r:id="rId11" w:history="1">
              <w:r w:rsidRPr="00902117">
                <w:rPr>
                  <w:rStyle w:val="Hipercze"/>
                </w:rPr>
                <w:t>www.farmakologia.ump.edu.pl</w:t>
              </w:r>
            </w:hyperlink>
            <w:r w:rsidRPr="00902117">
              <w:t xml:space="preserve"> i w </w:t>
            </w:r>
            <w:proofErr w:type="spellStart"/>
            <w:r w:rsidRPr="00902117">
              <w:t>WISUSie</w:t>
            </w:r>
            <w:proofErr w:type="spellEnd"/>
          </w:p>
          <w:p w:rsidR="00BF21E3" w:rsidRPr="00902117" w:rsidRDefault="00902117" w:rsidP="00902117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902117">
              <w:t>Mutschler</w:t>
            </w:r>
            <w:proofErr w:type="spellEnd"/>
            <w:r w:rsidRPr="00902117">
              <w:t xml:space="preserve"> E., </w:t>
            </w:r>
            <w:proofErr w:type="spellStart"/>
            <w:r w:rsidRPr="00902117">
              <w:t>Gesslinger</w:t>
            </w:r>
            <w:proofErr w:type="spellEnd"/>
            <w:r w:rsidRPr="00902117">
              <w:t xml:space="preserve"> G., Kroemer H.K., </w:t>
            </w:r>
            <w:proofErr w:type="spellStart"/>
            <w:r w:rsidRPr="00902117">
              <w:t>Ruth</w:t>
            </w:r>
            <w:proofErr w:type="spellEnd"/>
            <w:r w:rsidRPr="00902117">
              <w:t xml:space="preserve"> P., </w:t>
            </w:r>
            <w:r w:rsidRPr="00902117">
              <w:rPr>
                <w:bCs/>
                <w:kern w:val="36"/>
              </w:rPr>
              <w:t>Farmakologia i toksykologia.</w:t>
            </w:r>
            <w:r w:rsidRPr="00902117">
              <w:t xml:space="preserve"> wyd. IV polskie </w:t>
            </w:r>
            <w:proofErr w:type="spellStart"/>
            <w:r w:rsidRPr="00902117">
              <w:t>MedPh</w:t>
            </w:r>
            <w:proofErr w:type="spellEnd"/>
            <w:r w:rsidRPr="00902117">
              <w:t xml:space="preserve"> 2016</w:t>
            </w:r>
          </w:p>
          <w:p w:rsidR="00902117" w:rsidRDefault="00BF21E3" w:rsidP="00902117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:rsidR="00902117" w:rsidRPr="00902117" w:rsidRDefault="00902117" w:rsidP="00902117">
            <w:pPr>
              <w:pStyle w:val="Tekstpodstawowy"/>
              <w:numPr>
                <w:ilvl w:val="0"/>
                <w:numId w:val="24"/>
              </w:numPr>
              <w:spacing w:line="240" w:lineRule="auto"/>
              <w:rPr>
                <w:b/>
                <w:sz w:val="24"/>
                <w:lang w:val="en-US" w:eastAsia="en-US"/>
              </w:rPr>
            </w:pPr>
            <w:r w:rsidRPr="00C509B4">
              <w:rPr>
                <w:bCs/>
                <w:kern w:val="36"/>
                <w:sz w:val="22"/>
                <w:lang w:val="en-US"/>
              </w:rPr>
              <w:t xml:space="preserve">Golan D.E. Principles of Pharmacology: The Pathophysiologic Basis of Drug Therapy, Wolters Kluwer/Lippincott Williams &amp; Wilkins, </w:t>
            </w:r>
            <w:proofErr w:type="spellStart"/>
            <w:r w:rsidRPr="00C509B4">
              <w:rPr>
                <w:bCs/>
                <w:kern w:val="36"/>
                <w:sz w:val="22"/>
                <w:lang w:val="en-US"/>
              </w:rPr>
              <w:t>wyd</w:t>
            </w:r>
            <w:proofErr w:type="spellEnd"/>
            <w:r w:rsidRPr="00C509B4">
              <w:rPr>
                <w:bCs/>
                <w:kern w:val="36"/>
                <w:sz w:val="22"/>
                <w:lang w:val="en-US"/>
              </w:rPr>
              <w:t xml:space="preserve"> 4 , 2017</w:t>
            </w:r>
          </w:p>
          <w:p w:rsidR="00902117" w:rsidRPr="00902117" w:rsidRDefault="00902117" w:rsidP="00902117">
            <w:pPr>
              <w:pStyle w:val="Akapitzlist"/>
              <w:numPr>
                <w:ilvl w:val="0"/>
                <w:numId w:val="24"/>
              </w:numPr>
              <w:outlineLvl w:val="0"/>
              <w:rPr>
                <w:lang w:val="en-US"/>
              </w:rPr>
            </w:pPr>
            <w:r w:rsidRPr="00902117">
              <w:rPr>
                <w:bCs/>
                <w:kern w:val="36"/>
                <w:lang w:val="en-US"/>
              </w:rPr>
              <w:t xml:space="preserve">Rang H., Dale MM, Ritter JM, Flower R, Henderson G. </w:t>
            </w:r>
            <w:proofErr w:type="spellStart"/>
            <w:r w:rsidRPr="00902117">
              <w:rPr>
                <w:bCs/>
                <w:kern w:val="36"/>
                <w:lang w:val="en-US"/>
              </w:rPr>
              <w:t>Farmakologia</w:t>
            </w:r>
            <w:proofErr w:type="spellEnd"/>
            <w:r w:rsidRPr="00902117">
              <w:rPr>
                <w:bCs/>
                <w:kern w:val="36"/>
                <w:lang w:val="en-US"/>
              </w:rPr>
              <w:t xml:space="preserve"> Rang </w:t>
            </w:r>
            <w:proofErr w:type="spellStart"/>
            <w:r w:rsidRPr="00902117">
              <w:rPr>
                <w:bCs/>
                <w:kern w:val="36"/>
                <w:lang w:val="en-US"/>
              </w:rPr>
              <w:t>i</w:t>
            </w:r>
            <w:proofErr w:type="spellEnd"/>
            <w:r w:rsidRPr="00902117">
              <w:rPr>
                <w:bCs/>
                <w:kern w:val="36"/>
                <w:lang w:val="en-US"/>
              </w:rPr>
              <w:t xml:space="preserve"> Dale. red </w:t>
            </w:r>
            <w:proofErr w:type="spellStart"/>
            <w:r w:rsidRPr="00902117">
              <w:rPr>
                <w:bCs/>
                <w:kern w:val="36"/>
                <w:lang w:val="en-US"/>
              </w:rPr>
              <w:t>wyd.pol</w:t>
            </w:r>
            <w:proofErr w:type="spellEnd"/>
            <w:r w:rsidRPr="00902117">
              <w:rPr>
                <w:bCs/>
                <w:kern w:val="36"/>
                <w:lang w:val="en-US"/>
              </w:rPr>
              <w:t xml:space="preserve">. </w:t>
            </w:r>
            <w:proofErr w:type="spellStart"/>
            <w:r w:rsidRPr="00902117">
              <w:rPr>
                <w:bCs/>
                <w:kern w:val="36"/>
                <w:lang w:val="en-US"/>
              </w:rPr>
              <w:t>Mirowska-Guzel</w:t>
            </w:r>
            <w:proofErr w:type="spellEnd"/>
            <w:r w:rsidRPr="00902117">
              <w:rPr>
                <w:bCs/>
                <w:kern w:val="36"/>
                <w:lang w:val="en-US"/>
              </w:rPr>
              <w:t xml:space="preserve"> D, </w:t>
            </w:r>
            <w:proofErr w:type="spellStart"/>
            <w:r w:rsidRPr="00902117">
              <w:rPr>
                <w:bCs/>
                <w:kern w:val="36"/>
                <w:lang w:val="en-US"/>
              </w:rPr>
              <w:t>Członkowski</w:t>
            </w:r>
            <w:proofErr w:type="spellEnd"/>
            <w:r w:rsidRPr="00902117">
              <w:rPr>
                <w:bCs/>
                <w:kern w:val="36"/>
                <w:lang w:val="en-US"/>
              </w:rPr>
              <w:t xml:space="preserve"> A, </w:t>
            </w:r>
            <w:proofErr w:type="spellStart"/>
            <w:r w:rsidRPr="00902117">
              <w:rPr>
                <w:bCs/>
                <w:kern w:val="36"/>
                <w:lang w:val="en-US"/>
              </w:rPr>
              <w:t>Okopień</w:t>
            </w:r>
            <w:proofErr w:type="spellEnd"/>
            <w:r w:rsidRPr="00902117">
              <w:rPr>
                <w:bCs/>
                <w:kern w:val="36"/>
                <w:lang w:val="en-US"/>
              </w:rPr>
              <w:t xml:space="preserve"> B. Elsevier Urban &amp; Partner, </w:t>
            </w:r>
            <w:r w:rsidRPr="00902117">
              <w:rPr>
                <w:lang w:val="en-US"/>
              </w:rPr>
              <w:t xml:space="preserve"> </w:t>
            </w:r>
            <w:proofErr w:type="spellStart"/>
            <w:r w:rsidRPr="00902117">
              <w:rPr>
                <w:lang w:val="en-US"/>
              </w:rPr>
              <w:t>Wrocław</w:t>
            </w:r>
            <w:proofErr w:type="spellEnd"/>
            <w:r w:rsidRPr="00902117">
              <w:rPr>
                <w:lang w:val="en-US"/>
              </w:rPr>
              <w:t xml:space="preserve"> 2014, wyd.2</w:t>
            </w:r>
          </w:p>
          <w:p w:rsidR="00902117" w:rsidRPr="00902117" w:rsidRDefault="00902117" w:rsidP="00902117">
            <w:pPr>
              <w:pStyle w:val="Akapitzlist"/>
              <w:numPr>
                <w:ilvl w:val="0"/>
                <w:numId w:val="24"/>
              </w:numPr>
              <w:outlineLvl w:val="0"/>
              <w:rPr>
                <w:lang w:val="en-US"/>
              </w:rPr>
            </w:pPr>
            <w:proofErr w:type="spellStart"/>
            <w:r w:rsidRPr="00902117">
              <w:rPr>
                <w:lang w:val="en-US"/>
              </w:rPr>
              <w:t>Katzung</w:t>
            </w:r>
            <w:proofErr w:type="spellEnd"/>
            <w:r w:rsidRPr="00902117">
              <w:rPr>
                <w:lang w:val="en-US"/>
              </w:rPr>
              <w:t xml:space="preserve"> B.G.: Basic &amp; Clinical Pharmacology, The McGraw-Hill Companies, 2015.</w:t>
            </w:r>
          </w:p>
          <w:p w:rsidR="00BF21E3" w:rsidRPr="00902117" w:rsidRDefault="00BF21E3" w:rsidP="00902117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:rsidR="0013702D" w:rsidRPr="00902117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  <w:lang w:val="en-US"/>
        </w:rPr>
      </w:pPr>
    </w:p>
    <w:p w:rsidR="0045753C" w:rsidRPr="00902117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  <w:lang w:val="en-US"/>
        </w:rPr>
      </w:pPr>
    </w:p>
    <w:p w:rsidR="000E65EC" w:rsidRPr="00902117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  <w:lang w:val="en-US"/>
        </w:rPr>
      </w:pPr>
    </w:p>
    <w:p w:rsidR="00D37C1F" w:rsidRPr="00902117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lang w:val="en-US"/>
        </w:rPr>
      </w:pPr>
    </w:p>
    <w:p w:rsidR="0069789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F80109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:rsidR="00F80109" w:rsidRPr="002E296E" w:rsidRDefault="00F80109" w:rsidP="00F80109">
      <w:pPr>
        <w:jc w:val="both"/>
        <w:rPr>
          <w:b/>
          <w:bCs/>
        </w:rPr>
      </w:pPr>
      <w:r w:rsidRPr="002E296E">
        <w:rPr>
          <w:rFonts w:eastAsia="Arial Unicode MS"/>
        </w:rPr>
        <w:t xml:space="preserve">1. Studenci zobowiązani są do podporządkowania się w trakcie zajęć poleceniom nauczycieli akademickich prowadzących ćwiczenia w zakresie toku zajęć i odpowiednich przepisów BHP. </w:t>
      </w:r>
    </w:p>
    <w:p w:rsidR="00F80109" w:rsidRPr="002E296E" w:rsidRDefault="00F80109" w:rsidP="00F80109">
      <w:pPr>
        <w:jc w:val="both"/>
        <w:rPr>
          <w:b/>
          <w:bCs/>
        </w:rPr>
      </w:pPr>
      <w:r w:rsidRPr="002E296E">
        <w:rPr>
          <w:rFonts w:eastAsia="Arial Unicode MS"/>
        </w:rPr>
        <w:t xml:space="preserve">2. Ćwiczenia </w:t>
      </w:r>
      <w:r>
        <w:rPr>
          <w:rFonts w:eastAsia="Arial Unicode MS"/>
        </w:rPr>
        <w:t xml:space="preserve">i seminaria </w:t>
      </w:r>
      <w:r w:rsidRPr="002E296E">
        <w:rPr>
          <w:rFonts w:eastAsia="Arial Unicode MS"/>
        </w:rPr>
        <w:t xml:space="preserve">rozpoczynają się punktualnie zgodnie z planem wyznaczonym przez Dziekanat. </w:t>
      </w:r>
    </w:p>
    <w:p w:rsidR="00F80109" w:rsidRPr="002E296E" w:rsidRDefault="00F80109" w:rsidP="00F80109">
      <w:pPr>
        <w:jc w:val="both"/>
        <w:rPr>
          <w:b/>
          <w:bCs/>
        </w:rPr>
      </w:pPr>
      <w:r w:rsidRPr="00F80109">
        <w:rPr>
          <w:rFonts w:eastAsia="Arial Unicode MS"/>
        </w:rPr>
        <w:t>3.</w:t>
      </w:r>
      <w:r w:rsidRPr="002E296E">
        <w:rPr>
          <w:rFonts w:eastAsia="Arial Unicode MS"/>
          <w:b/>
        </w:rPr>
        <w:t xml:space="preserve"> Podstawą zaliczenia zajęć jest: </w:t>
      </w:r>
    </w:p>
    <w:p w:rsidR="00F80109" w:rsidRPr="002E296E" w:rsidRDefault="00F80109" w:rsidP="00F80109">
      <w:pPr>
        <w:numPr>
          <w:ilvl w:val="0"/>
          <w:numId w:val="26"/>
        </w:numPr>
        <w:ind w:left="284" w:hanging="284"/>
        <w:jc w:val="both"/>
        <w:rPr>
          <w:rFonts w:eastAsia="Arial Unicode MS"/>
        </w:rPr>
      </w:pPr>
      <w:r w:rsidRPr="002E296E">
        <w:rPr>
          <w:rFonts w:eastAsia="Arial Unicode MS"/>
          <w:b/>
        </w:rPr>
        <w:t>Obowiązkowa obecność na ćwiczeniach</w:t>
      </w:r>
      <w:r>
        <w:rPr>
          <w:rFonts w:eastAsia="Arial Unicode MS"/>
          <w:b/>
        </w:rPr>
        <w:t xml:space="preserve"> i seminariach</w:t>
      </w:r>
      <w:r w:rsidRPr="002E296E">
        <w:rPr>
          <w:rFonts w:eastAsia="Arial Unicode MS"/>
          <w:b/>
        </w:rPr>
        <w:t>.</w:t>
      </w:r>
    </w:p>
    <w:p w:rsidR="00F80109" w:rsidRPr="002E296E" w:rsidRDefault="00F80109" w:rsidP="00F80109">
      <w:pPr>
        <w:ind w:left="360" w:firstLine="348"/>
        <w:jc w:val="both"/>
        <w:rPr>
          <w:rFonts w:eastAsia="Arial Unicode MS"/>
        </w:rPr>
      </w:pPr>
      <w:r w:rsidRPr="002E296E">
        <w:rPr>
          <w:rFonts w:eastAsia="Arial Unicode MS"/>
        </w:rPr>
        <w:t>Nieobecność usprawiedliwiona - jako usprawiedliwienie traktuje się zaświadczenie lekarskie, względnie wezwania urzędowe - władz wojskowych, sądowych, polecenia władz uczelni, itp. Usprawiedliwienie winno być przedstawione na pierwszym ćwiczeniu</w:t>
      </w:r>
      <w:r>
        <w:rPr>
          <w:rFonts w:eastAsia="Arial Unicode MS"/>
        </w:rPr>
        <w:t xml:space="preserve"> lub seminarium</w:t>
      </w:r>
      <w:r w:rsidRPr="002E296E">
        <w:rPr>
          <w:rFonts w:eastAsia="Arial Unicode MS"/>
        </w:rPr>
        <w:t xml:space="preserve">, na którym student jest znów obecny. </w:t>
      </w:r>
      <w:r w:rsidRPr="002E296E">
        <w:rPr>
          <w:rFonts w:eastAsia="Arial Unicode MS"/>
        </w:rPr>
        <w:tab/>
      </w:r>
      <w:r w:rsidRPr="002E296E">
        <w:rPr>
          <w:rFonts w:eastAsia="Arial Unicode MS"/>
        </w:rPr>
        <w:tab/>
      </w:r>
      <w:r w:rsidRPr="002E296E">
        <w:rPr>
          <w:rFonts w:eastAsia="Arial Unicode MS"/>
        </w:rPr>
        <w:tab/>
      </w:r>
      <w:r w:rsidRPr="002E296E">
        <w:rPr>
          <w:rFonts w:eastAsia="Arial Unicode MS"/>
        </w:rPr>
        <w:tab/>
      </w:r>
    </w:p>
    <w:p w:rsidR="00F80109" w:rsidRPr="002E296E" w:rsidRDefault="00F80109" w:rsidP="00F80109">
      <w:pPr>
        <w:ind w:left="360" w:firstLine="348"/>
        <w:rPr>
          <w:rFonts w:eastAsia="Arial Unicode MS"/>
        </w:rPr>
      </w:pPr>
      <w:r w:rsidRPr="002E296E">
        <w:rPr>
          <w:rFonts w:eastAsia="Arial Unicode MS"/>
        </w:rPr>
        <w:t>Studenci, którzy byli nieobecni na zajęciach (niezależnie od przyczyny nieobecności) zobowiązani są do uzupełnienia wiedzy z tego zakresu do czasu kolejnych zajęć.</w:t>
      </w:r>
    </w:p>
    <w:p w:rsidR="00F80109" w:rsidRPr="002E296E" w:rsidRDefault="00F80109" w:rsidP="00F80109">
      <w:pPr>
        <w:ind w:left="360" w:firstLine="348"/>
        <w:rPr>
          <w:rFonts w:eastAsia="Arial Unicode MS"/>
        </w:rPr>
      </w:pPr>
      <w:r w:rsidRPr="002E296E">
        <w:rPr>
          <w:rFonts w:eastAsia="Arial Unicode MS"/>
        </w:rPr>
        <w:t>Studenci, którzy bez usprawiedliwienia opuścili od 1 do 3 ćwiczeń</w:t>
      </w:r>
      <w:r>
        <w:rPr>
          <w:rFonts w:eastAsia="Arial Unicode MS"/>
        </w:rPr>
        <w:t xml:space="preserve"> i/lub seminariów</w:t>
      </w:r>
      <w:r w:rsidRPr="002E296E">
        <w:rPr>
          <w:rFonts w:eastAsia="Arial Unicode MS"/>
        </w:rPr>
        <w:t xml:space="preserve"> oraz studenci, których nieobecności usprawiedliwione obejmują od 4 do 10 ćwiczeń </w:t>
      </w:r>
      <w:r>
        <w:rPr>
          <w:rFonts w:eastAsia="Arial Unicode MS"/>
        </w:rPr>
        <w:t xml:space="preserve">i/lub seminariów </w:t>
      </w:r>
      <w:r w:rsidRPr="002E296E">
        <w:rPr>
          <w:rFonts w:eastAsia="Arial Unicode MS"/>
        </w:rPr>
        <w:t xml:space="preserve">w ciągu roku akademickiego są zobowiązani zdawać kolokwium wyjściowe, niezależnie od  średniej </w:t>
      </w:r>
      <w:r>
        <w:rPr>
          <w:rFonts w:eastAsia="Arial Unicode MS"/>
        </w:rPr>
        <w:t xml:space="preserve">liczby punktów uzyskanych z ćwiczeń i seminariów oraz ze sprawdzianu  podsumowującego. </w:t>
      </w:r>
    </w:p>
    <w:p w:rsidR="00F80109" w:rsidRPr="002E296E" w:rsidRDefault="00F80109" w:rsidP="00F80109">
      <w:pPr>
        <w:ind w:left="360" w:firstLine="348"/>
        <w:rPr>
          <w:rFonts w:eastAsia="Arial Unicode MS"/>
        </w:rPr>
      </w:pPr>
      <w:r w:rsidRPr="002E296E">
        <w:rPr>
          <w:rFonts w:eastAsia="Arial Unicode MS"/>
          <w:spacing w:val="-4"/>
        </w:rPr>
        <w:t xml:space="preserve">Studenci, </w:t>
      </w:r>
      <w:r w:rsidRPr="002E296E">
        <w:rPr>
          <w:rFonts w:eastAsia="Arial Unicode MS"/>
        </w:rPr>
        <w:t xml:space="preserve">których nieusprawiedliwione nieobecności obejmują więcej niż 3 ćwiczenia </w:t>
      </w:r>
      <w:r>
        <w:rPr>
          <w:rFonts w:eastAsia="Arial Unicode MS"/>
        </w:rPr>
        <w:t xml:space="preserve">i/lub seminaria </w:t>
      </w:r>
      <w:r w:rsidRPr="002E296E">
        <w:rPr>
          <w:rFonts w:eastAsia="Arial Unicode MS"/>
        </w:rPr>
        <w:t xml:space="preserve">lub nieobecności usprawiedliwione więcej niż 10 ćwiczeń </w:t>
      </w:r>
      <w:r>
        <w:rPr>
          <w:rFonts w:eastAsia="Arial Unicode MS"/>
        </w:rPr>
        <w:t xml:space="preserve">i/lub seminariów </w:t>
      </w:r>
      <w:r w:rsidRPr="002E296E">
        <w:rPr>
          <w:rFonts w:eastAsia="Arial Unicode MS"/>
        </w:rPr>
        <w:t xml:space="preserve"> w ciągu roku akademickiego nie zostaną dopuszczeni do kolokwium wyjściowego i nie uzyskają zaliczenia przedmiotu. </w:t>
      </w:r>
    </w:p>
    <w:p w:rsidR="00F80109" w:rsidRPr="002E296E" w:rsidRDefault="00F80109" w:rsidP="00F80109">
      <w:pPr>
        <w:ind w:left="360" w:firstLine="348"/>
        <w:rPr>
          <w:rFonts w:eastAsia="Arial Unicode MS"/>
        </w:rPr>
      </w:pPr>
      <w:r w:rsidRPr="002E296E">
        <w:rPr>
          <w:rFonts w:eastAsia="Arial Unicode MS"/>
        </w:rPr>
        <w:t xml:space="preserve">Decyzja o sposobie zaliczeniu przedmiotu w odniesieniu do przypadków nieobecności usprawiedliwionych przekraczających 10 ćwiczeń </w:t>
      </w:r>
      <w:r>
        <w:rPr>
          <w:rFonts w:eastAsia="Arial Unicode MS"/>
        </w:rPr>
        <w:t xml:space="preserve">i/lub seminariów </w:t>
      </w:r>
      <w:r w:rsidRPr="002E296E">
        <w:rPr>
          <w:rFonts w:eastAsia="Arial Unicode MS"/>
        </w:rPr>
        <w:t xml:space="preserve">spowodowanych długotrwałą chorobą  lub wypadkami losowymi podjęta zostanie przez egzaminatora po konsultacji z Dziekanem i Kierownikiem Katedry. </w:t>
      </w:r>
    </w:p>
    <w:p w:rsidR="00F80109" w:rsidRPr="002E296E" w:rsidRDefault="00F80109" w:rsidP="00F80109">
      <w:pPr>
        <w:ind w:left="360" w:firstLine="348"/>
        <w:rPr>
          <w:rFonts w:eastAsia="Arial Unicode MS"/>
        </w:rPr>
      </w:pPr>
      <w:r w:rsidRPr="002E296E">
        <w:rPr>
          <w:rFonts w:eastAsia="Arial Unicode MS"/>
        </w:rPr>
        <w:t xml:space="preserve">Zezwala się na opuszczenie 1 ćwiczenia </w:t>
      </w:r>
      <w:r>
        <w:rPr>
          <w:rFonts w:eastAsia="Arial Unicode MS"/>
        </w:rPr>
        <w:t xml:space="preserve">lub 1 seminarium </w:t>
      </w:r>
      <w:r w:rsidRPr="002E296E">
        <w:rPr>
          <w:rFonts w:eastAsia="Arial Unicode MS"/>
        </w:rPr>
        <w:t>z przyczyn losowych. Student ma obowiązek podać przyczynę nieobecności. Decyzja o usprawiedliwieniu ewentualnych dalszych pojedynczych nieobecności z przyczyn losowych podjęta zostanie przez egzaminatora po uprzednim indywidualnym rozpatrzeniu.</w:t>
      </w:r>
    </w:p>
    <w:p w:rsidR="00F80109" w:rsidRDefault="00F80109" w:rsidP="00F80109">
      <w:pPr>
        <w:numPr>
          <w:ilvl w:val="0"/>
          <w:numId w:val="26"/>
        </w:numPr>
        <w:ind w:left="284" w:hanging="284"/>
        <w:jc w:val="both"/>
        <w:rPr>
          <w:rFonts w:eastAsia="Arial Unicode MS"/>
        </w:rPr>
      </w:pPr>
      <w:r w:rsidRPr="002E296E">
        <w:rPr>
          <w:rFonts w:eastAsia="Arial Unicode MS"/>
          <w:b/>
          <w:spacing w:val="-4"/>
        </w:rPr>
        <w:t>Wykazanie się wiadomościami co najmniej na poziomie dostatecznym</w:t>
      </w:r>
      <w:r>
        <w:rPr>
          <w:rFonts w:eastAsia="Arial Unicode MS"/>
          <w:b/>
          <w:spacing w:val="-4"/>
        </w:rPr>
        <w:t xml:space="preserve"> oceniane na podstawie</w:t>
      </w:r>
      <w:r>
        <w:rPr>
          <w:rFonts w:eastAsia="Arial Unicode MS"/>
          <w:spacing w:val="-4"/>
        </w:rPr>
        <w:t>:</w:t>
      </w:r>
    </w:p>
    <w:p w:rsidR="00F80109" w:rsidRPr="00333FD0" w:rsidRDefault="00F80109" w:rsidP="00F80109">
      <w:pPr>
        <w:numPr>
          <w:ilvl w:val="0"/>
          <w:numId w:val="27"/>
        </w:numPr>
        <w:jc w:val="both"/>
        <w:rPr>
          <w:rFonts w:eastAsia="Arial Unicode MS"/>
        </w:rPr>
      </w:pPr>
      <w:r>
        <w:rPr>
          <w:rFonts w:eastAsia="Arial Unicode MS"/>
          <w:spacing w:val="-4"/>
        </w:rPr>
        <w:t>odpowiedniej średniej</w:t>
      </w:r>
      <w:r w:rsidRPr="00333FD0">
        <w:rPr>
          <w:rFonts w:eastAsia="Arial Unicode MS"/>
          <w:spacing w:val="-4"/>
        </w:rPr>
        <w:t xml:space="preserve"> punktów uzyskanych ze wszystkich ćwiczeń i seminariów łącznie</w:t>
      </w:r>
      <w:r>
        <w:rPr>
          <w:rFonts w:eastAsia="Arial Unicode MS"/>
          <w:spacing w:val="-4"/>
        </w:rPr>
        <w:t xml:space="preserve"> – minimum 6 punktów;</w:t>
      </w:r>
      <w:r>
        <w:rPr>
          <w:rFonts w:eastAsia="Arial Unicode MS"/>
        </w:rPr>
        <w:t xml:space="preserve"> </w:t>
      </w:r>
      <w:r w:rsidRPr="00333FD0">
        <w:rPr>
          <w:rFonts w:eastAsia="Arial Unicode MS"/>
          <w:spacing w:val="-4"/>
        </w:rPr>
        <w:t xml:space="preserve">na ostateczną wspólną ocenę z ćwiczeń i z seminariów  składa się średnia punktów z testów cząstkowych </w:t>
      </w:r>
      <w:r>
        <w:rPr>
          <w:rFonts w:eastAsia="Arial Unicode MS"/>
          <w:spacing w:val="-4"/>
        </w:rPr>
        <w:t xml:space="preserve">w </w:t>
      </w:r>
      <w:r w:rsidRPr="00333FD0">
        <w:rPr>
          <w:rFonts w:eastAsia="Arial Unicode MS"/>
          <w:spacing w:val="-4"/>
        </w:rPr>
        <w:t>5</w:t>
      </w:r>
      <w:r>
        <w:rPr>
          <w:rFonts w:eastAsia="Arial Unicode MS"/>
          <w:spacing w:val="-4"/>
        </w:rPr>
        <w:t>0%  oraz</w:t>
      </w:r>
      <w:r w:rsidRPr="00333FD0">
        <w:rPr>
          <w:rFonts w:eastAsia="Arial Unicode MS"/>
          <w:spacing w:val="-4"/>
        </w:rPr>
        <w:t xml:space="preserve"> średnia punktów z odpowiedzi ustnych</w:t>
      </w:r>
      <w:r>
        <w:rPr>
          <w:rFonts w:eastAsia="Arial Unicode MS"/>
          <w:spacing w:val="-4"/>
        </w:rPr>
        <w:t xml:space="preserve"> w</w:t>
      </w:r>
      <w:r w:rsidRPr="00333FD0">
        <w:rPr>
          <w:rFonts w:eastAsia="Arial Unicode MS"/>
          <w:spacing w:val="-4"/>
        </w:rPr>
        <w:t xml:space="preserve"> 50%.</w:t>
      </w:r>
      <w:r>
        <w:rPr>
          <w:rFonts w:eastAsia="Arial Unicode MS"/>
          <w:spacing w:val="-4"/>
        </w:rPr>
        <w:t xml:space="preserve">; </w:t>
      </w:r>
      <w:r w:rsidRPr="00333FD0">
        <w:rPr>
          <w:rFonts w:eastAsia="Arial Unicode MS"/>
          <w:spacing w:val="-4"/>
        </w:rPr>
        <w:t xml:space="preserve">każdego testu cząstkowego </w:t>
      </w:r>
      <w:r>
        <w:rPr>
          <w:rFonts w:eastAsia="Arial Unicode MS"/>
          <w:spacing w:val="-4"/>
        </w:rPr>
        <w:t xml:space="preserve">oraz za każdą odpowiedź ustną </w:t>
      </w:r>
      <w:r w:rsidRPr="00333FD0">
        <w:rPr>
          <w:rFonts w:eastAsia="Arial Unicode MS"/>
          <w:spacing w:val="-4"/>
        </w:rPr>
        <w:t xml:space="preserve">student może uzyskać </w:t>
      </w:r>
      <w:r>
        <w:rPr>
          <w:rFonts w:eastAsia="Arial Unicode MS"/>
          <w:spacing w:val="-4"/>
        </w:rPr>
        <w:t>0-10 punktów;</w:t>
      </w:r>
    </w:p>
    <w:p w:rsidR="00F80109" w:rsidRDefault="00F80109" w:rsidP="00F80109">
      <w:pPr>
        <w:numPr>
          <w:ilvl w:val="0"/>
          <w:numId w:val="27"/>
        </w:numPr>
        <w:jc w:val="both"/>
        <w:rPr>
          <w:rFonts w:eastAsia="Arial Unicode MS"/>
        </w:rPr>
      </w:pPr>
      <w:r>
        <w:rPr>
          <w:rFonts w:eastAsia="Arial Unicode MS"/>
          <w:spacing w:val="-4"/>
        </w:rPr>
        <w:t>wyniku sprawdzianu podsumowującego - co najmniej 60 punktów w skali 0-100;</w:t>
      </w:r>
      <w:r w:rsidRPr="00333FD0">
        <w:rPr>
          <w:rFonts w:eastAsia="Arial Unicode MS"/>
          <w:spacing w:val="-4"/>
        </w:rPr>
        <w:t xml:space="preserve"> przypadku studentów pretendujących do zwolnienia z egzaminu wymagane jest zdanie </w:t>
      </w:r>
      <w:r>
        <w:rPr>
          <w:rFonts w:eastAsia="Arial Unicode MS"/>
          <w:spacing w:val="-4"/>
        </w:rPr>
        <w:t xml:space="preserve">testu podsumowujące </w:t>
      </w:r>
      <w:r w:rsidRPr="00333FD0">
        <w:rPr>
          <w:rFonts w:eastAsia="Arial Unicode MS"/>
          <w:spacing w:val="-4"/>
        </w:rPr>
        <w:t xml:space="preserve"> na co najmniej </w:t>
      </w:r>
      <w:r>
        <w:rPr>
          <w:rFonts w:eastAsia="Arial Unicode MS"/>
          <w:spacing w:val="-4"/>
        </w:rPr>
        <w:t>90 punktów.</w:t>
      </w:r>
    </w:p>
    <w:p w:rsidR="00F80109" w:rsidRDefault="00F80109" w:rsidP="00F80109">
      <w:pPr>
        <w:numPr>
          <w:ilvl w:val="0"/>
          <w:numId w:val="27"/>
        </w:numPr>
        <w:ind w:left="284" w:hanging="284"/>
        <w:jc w:val="both"/>
        <w:rPr>
          <w:rFonts w:eastAsia="Arial Unicode MS"/>
        </w:rPr>
      </w:pPr>
      <w:r w:rsidRPr="001C270C">
        <w:rPr>
          <w:rFonts w:eastAsia="Arial Unicode MS"/>
          <w:b/>
        </w:rPr>
        <w:t>Podczas każdego z ćwiczeń i seminariów obowiązuje znajomość zagadnień bieżących oraz zagadnień omawianych w czasie wszystkich poprzednich zajęć od początku kursu farmakologii.</w:t>
      </w:r>
    </w:p>
    <w:p w:rsidR="00FF091D" w:rsidRDefault="00F80109" w:rsidP="00FF091D">
      <w:pPr>
        <w:numPr>
          <w:ilvl w:val="0"/>
          <w:numId w:val="27"/>
        </w:numPr>
        <w:ind w:left="284" w:hanging="284"/>
        <w:jc w:val="both"/>
        <w:rPr>
          <w:rFonts w:eastAsia="Arial Unicode MS"/>
        </w:rPr>
      </w:pPr>
      <w:r w:rsidRPr="001C270C">
        <w:rPr>
          <w:rFonts w:eastAsia="Arial Unicode MS"/>
        </w:rPr>
        <w:t>Nieusprawiedliwiona nieobecność na ćwiczeniach lub na seminariach</w:t>
      </w:r>
      <w:r>
        <w:rPr>
          <w:rFonts w:eastAsia="Arial Unicode MS"/>
        </w:rPr>
        <w:t>, a także na teście podsumowującym</w:t>
      </w:r>
      <w:r w:rsidRPr="001C270C">
        <w:rPr>
          <w:rFonts w:eastAsia="Arial Unicode MS"/>
        </w:rPr>
        <w:t xml:space="preserve"> jest związana z otrzymaniem 0 punktów. </w:t>
      </w:r>
    </w:p>
    <w:p w:rsidR="00F80109" w:rsidRPr="00FF091D" w:rsidRDefault="00F80109" w:rsidP="00FF091D">
      <w:pPr>
        <w:numPr>
          <w:ilvl w:val="0"/>
          <w:numId w:val="27"/>
        </w:numPr>
        <w:ind w:left="284" w:hanging="284"/>
        <w:jc w:val="both"/>
        <w:rPr>
          <w:rFonts w:eastAsia="Arial Unicode MS"/>
        </w:rPr>
      </w:pPr>
      <w:r w:rsidRPr="00FF091D">
        <w:rPr>
          <w:rFonts w:eastAsia="Arial Unicode MS"/>
        </w:rPr>
        <w:t xml:space="preserve">Uzyskanie średniej liczby punktów mniejszej niż 6 z ćwiczeń/seminariów lub liczby punktów niższej niż 60 z testu podsumowującego nie pozwala na zaliczenie zajęć. W takim </w:t>
      </w:r>
      <w:r w:rsidRPr="00FF091D">
        <w:rPr>
          <w:rFonts w:eastAsia="Arial Unicode MS"/>
        </w:rPr>
        <w:lastRenderedPageBreak/>
        <w:t xml:space="preserve">przypadku student ma obowiązek zdać kolokwium wyjściowe (próg zaliczenia 60%). Ocena niedostateczna z kolokwium wyjściowego oznacza niedopuszczenie studenta do egzaminu. Kolokwium wyjściowe można poprawiać dwukrotnie. </w:t>
      </w:r>
    </w:p>
    <w:p w:rsidR="00F80109" w:rsidRPr="002E296E" w:rsidRDefault="00F80109" w:rsidP="00F80109">
      <w:pPr>
        <w:ind w:left="360"/>
        <w:jc w:val="both"/>
        <w:rPr>
          <w:rFonts w:eastAsia="Arial Unicode MS"/>
        </w:rPr>
      </w:pPr>
      <w:r w:rsidRPr="00F80109">
        <w:rPr>
          <w:rFonts w:eastAsia="Arial Unicode MS"/>
        </w:rPr>
        <w:t>4</w:t>
      </w:r>
      <w:r w:rsidRPr="002E296E">
        <w:rPr>
          <w:rFonts w:eastAsia="Arial Unicode MS"/>
          <w:b/>
        </w:rPr>
        <w:t>.Egzamin końcowy</w:t>
      </w:r>
    </w:p>
    <w:p w:rsidR="00F80109" w:rsidRPr="002E296E" w:rsidRDefault="00F80109" w:rsidP="00F80109">
      <w:pPr>
        <w:ind w:left="360" w:firstLine="348"/>
        <w:jc w:val="both"/>
        <w:rPr>
          <w:rFonts w:eastAsia="Arial Unicode MS"/>
        </w:rPr>
      </w:pPr>
      <w:r w:rsidRPr="002E296E">
        <w:rPr>
          <w:rFonts w:eastAsia="Arial Unicode MS"/>
        </w:rPr>
        <w:t xml:space="preserve">Egzamin końcowy  jest egzaminem testowym i obejmuje całość zagadnień kursu farmakologii. Ocena końcowa z farmakologii </w:t>
      </w:r>
      <w:r>
        <w:rPr>
          <w:rFonts w:eastAsia="Arial Unicode MS"/>
        </w:rPr>
        <w:t>jest obliczana na podstawie oceny</w:t>
      </w:r>
      <w:r w:rsidRPr="002E296E">
        <w:rPr>
          <w:rFonts w:eastAsia="Arial Unicode MS"/>
        </w:rPr>
        <w:t xml:space="preserve"> z egzaminu końcowego (60%) oraz </w:t>
      </w:r>
      <w:r>
        <w:rPr>
          <w:rFonts w:eastAsia="Arial Unicode MS"/>
        </w:rPr>
        <w:t>średniej liczby punktów uzyskanych z</w:t>
      </w:r>
      <w:r w:rsidRPr="002E296E">
        <w:rPr>
          <w:rFonts w:eastAsia="Arial Unicode MS"/>
        </w:rPr>
        <w:t xml:space="preserve"> ćwiczeń</w:t>
      </w:r>
      <w:r>
        <w:rPr>
          <w:rFonts w:eastAsia="Arial Unicode MS"/>
        </w:rPr>
        <w:t>/seminariów</w:t>
      </w:r>
      <w:r w:rsidRPr="002E296E">
        <w:rPr>
          <w:rFonts w:eastAsia="Arial Unicode MS"/>
        </w:rPr>
        <w:t xml:space="preserve"> (40%). </w:t>
      </w:r>
    </w:p>
    <w:p w:rsidR="00F80109" w:rsidRPr="002E296E" w:rsidRDefault="00F80109" w:rsidP="00F80109">
      <w:pPr>
        <w:ind w:left="360" w:firstLine="348"/>
        <w:jc w:val="both"/>
        <w:rPr>
          <w:rFonts w:eastAsia="Arial Unicode MS"/>
        </w:rPr>
      </w:pPr>
      <w:r w:rsidRPr="002E296E">
        <w:rPr>
          <w:rFonts w:eastAsia="Arial Unicode MS"/>
        </w:rPr>
        <w:t>Studenci, których średni</w:t>
      </w:r>
      <w:r>
        <w:rPr>
          <w:rFonts w:eastAsia="Arial Unicode MS"/>
        </w:rPr>
        <w:t>a liczba punktów z ćwiczeń i z seminariów wynosi co najmniej 8,</w:t>
      </w:r>
      <w:r w:rsidRPr="002E296E">
        <w:rPr>
          <w:rFonts w:eastAsia="Arial Unicode MS"/>
        </w:rPr>
        <w:t xml:space="preserve"> mogą przystąpić do egzaminu przedterminowego, a studenci których średnia</w:t>
      </w:r>
      <w:r>
        <w:rPr>
          <w:rFonts w:eastAsia="Arial Unicode MS"/>
        </w:rPr>
        <w:t xml:space="preserve"> liczba punktów z ćwiczeń i z seminariów przekracza 9,</w:t>
      </w:r>
      <w:r w:rsidRPr="002E296E">
        <w:rPr>
          <w:rFonts w:eastAsia="Arial Unicode MS"/>
        </w:rPr>
        <w:t xml:space="preserve"> zostaną zwolnieni z egzaminu końcowego. </w:t>
      </w:r>
      <w:r w:rsidRPr="002E296E">
        <w:rPr>
          <w:bCs/>
          <w:lang w:eastAsia="en-US"/>
        </w:rPr>
        <w:t xml:space="preserve">Warunkiem </w:t>
      </w:r>
      <w:r>
        <w:rPr>
          <w:bCs/>
          <w:lang w:eastAsia="en-US"/>
        </w:rPr>
        <w:t xml:space="preserve">zwolnienia z egzaminu lub </w:t>
      </w:r>
      <w:r w:rsidRPr="002E296E">
        <w:rPr>
          <w:bCs/>
          <w:lang w:eastAsia="en-US"/>
        </w:rPr>
        <w:t xml:space="preserve">przystąpienia do egzaminu przedterminowego jest uzyskanie odpowiedniej średniej </w:t>
      </w:r>
      <w:r>
        <w:rPr>
          <w:bCs/>
          <w:lang w:eastAsia="en-US"/>
        </w:rPr>
        <w:t>liczby punktów z ćwiczeń/seminariów łącznie, zdanie testu podsumowującego z odpowiednim wynikiem</w:t>
      </w:r>
      <w:r w:rsidRPr="002E296E">
        <w:rPr>
          <w:bCs/>
          <w:lang w:eastAsia="en-US"/>
        </w:rPr>
        <w:t xml:space="preserve">, </w:t>
      </w:r>
      <w:r w:rsidRPr="002E296E">
        <w:rPr>
          <w:rFonts w:eastAsia="Calibri"/>
          <w:lang w:eastAsia="en-US"/>
        </w:rPr>
        <w:t xml:space="preserve">nie więcej niż 1 nieobecność usprawiedliwiona </w:t>
      </w:r>
      <w:r w:rsidRPr="002E296E">
        <w:rPr>
          <w:bCs/>
          <w:lang w:eastAsia="en-US"/>
        </w:rPr>
        <w:t xml:space="preserve">oraz przestrzeganie zasad ujętych w regulaminie we wszystkich jego punktach. Studenci, którzy chcieliby uzyskać zwolnienie z egzaminu mają także obowiązek zaliczenia </w:t>
      </w:r>
      <w:r w:rsidRPr="002E296E">
        <w:rPr>
          <w:rFonts w:eastAsia="Calibri"/>
          <w:lang w:eastAsia="en-US"/>
        </w:rPr>
        <w:t>zagadnień z opuszczonych zajęć u egzaminatora.</w:t>
      </w:r>
    </w:p>
    <w:p w:rsidR="0013702D" w:rsidRDefault="0013702D" w:rsidP="00D37C1F">
      <w:pPr>
        <w:spacing w:line="238" w:lineRule="auto"/>
        <w:rPr>
          <w:b/>
          <w:color w:val="003300"/>
        </w:rPr>
      </w:pPr>
    </w:p>
    <w:p w:rsidR="00950A0C" w:rsidRPr="00950A0C" w:rsidRDefault="00950A0C" w:rsidP="00D37C1F">
      <w:pPr>
        <w:spacing w:line="238" w:lineRule="auto"/>
        <w:rPr>
          <w:b/>
          <w:color w:val="FF0000"/>
        </w:rPr>
      </w:pPr>
    </w:p>
    <w:p w:rsidR="0013702D" w:rsidRPr="00950A0C" w:rsidRDefault="00D37C1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>13</w:t>
      </w:r>
      <w:r w:rsidR="0069789F"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="0069789F" w:rsidRPr="00950A0C">
        <w:rPr>
          <w:b/>
          <w:color w:val="003300"/>
        </w:rPr>
        <w:t>/modułu</w:t>
      </w:r>
    </w:p>
    <w:p w:rsidR="0069789F" w:rsidRPr="00FC5A36" w:rsidRDefault="0069789F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>(ustala koordynator modułu wraz z osobami odpowiedzialnymi za poszczególne bloki)</w:t>
      </w:r>
    </w:p>
    <w:p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</w:p>
          <w:p w:rsidR="00F80109" w:rsidRPr="00F80109" w:rsidRDefault="00F801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80109">
              <w:rPr>
                <w:bCs/>
                <w:lang w:eastAsia="en-US"/>
              </w:rPr>
              <w:t>Zaliczenie uzyskiwane jest na podstawie:</w:t>
            </w:r>
          </w:p>
          <w:p w:rsidR="00F80109" w:rsidRPr="00F80109" w:rsidRDefault="00F80109" w:rsidP="00F80109">
            <w:pPr>
              <w:numPr>
                <w:ilvl w:val="0"/>
                <w:numId w:val="27"/>
              </w:numPr>
              <w:jc w:val="both"/>
              <w:rPr>
                <w:rFonts w:eastAsia="Arial Unicode MS"/>
              </w:rPr>
            </w:pPr>
            <w:r w:rsidRPr="00F80109">
              <w:rPr>
                <w:rFonts w:eastAsia="Arial Unicode MS"/>
                <w:spacing w:val="-4"/>
              </w:rPr>
              <w:t>odpowiedniej średniej punktów uzyskanych ze wszystkich ćwiczeń i seminariów łącznie – minimum 6 punktów;</w:t>
            </w:r>
            <w:r w:rsidRPr="00F80109">
              <w:rPr>
                <w:rFonts w:eastAsia="Arial Unicode MS"/>
              </w:rPr>
              <w:t xml:space="preserve"> </w:t>
            </w:r>
            <w:r w:rsidRPr="00F80109">
              <w:rPr>
                <w:rFonts w:eastAsia="Arial Unicode MS"/>
                <w:spacing w:val="-4"/>
              </w:rPr>
              <w:t>na ostateczną wspólną ocenę z ćwiczeń i z seminariów  składa się średnia punktów z testów cząstkowych w 50%  oraz średnia punktów z odpowiedzi ustnych w 50%.; każdego testu cząstkowego oraz za każdą odpowiedź ustną student może uzyskać 0-10 punktów;</w:t>
            </w:r>
          </w:p>
          <w:p w:rsidR="00FF091D" w:rsidRDefault="00F80109" w:rsidP="00FF091D">
            <w:pPr>
              <w:numPr>
                <w:ilvl w:val="0"/>
                <w:numId w:val="27"/>
              </w:numPr>
              <w:jc w:val="both"/>
              <w:rPr>
                <w:rFonts w:eastAsia="Arial Unicode MS"/>
              </w:rPr>
            </w:pPr>
            <w:r w:rsidRPr="00F80109">
              <w:rPr>
                <w:rFonts w:eastAsia="Arial Unicode MS"/>
                <w:spacing w:val="-4"/>
              </w:rPr>
              <w:t>wyniku sprawdzianu podsumowującego - co najmniej 60 punktów w skali 0-100; przypadku studentów pretendujących do zwolnienia z egzaminu wymagane jest zdanie testu podsumowujące  na co najmniej 90 punktów.</w:t>
            </w:r>
          </w:p>
          <w:p w:rsidR="0013702D" w:rsidRPr="00FF091D" w:rsidRDefault="00FF091D" w:rsidP="00FF091D">
            <w:pPr>
              <w:jc w:val="both"/>
              <w:rPr>
                <w:rFonts w:eastAsia="Arial Unicode MS"/>
              </w:rPr>
            </w:pPr>
            <w:r w:rsidRPr="00FF091D">
              <w:rPr>
                <w:rFonts w:eastAsia="Arial Unicode MS"/>
              </w:rPr>
              <w:t xml:space="preserve">Uzyskanie średniej liczby punktów mniejszej niż 6 z ćwiczeń/seminariów lub liczby punktów niższej niż 60 z testu podsumowującego nie pozwala na zaliczenie zajęć. W takim przypadku student ma obowiązek zdać kolokwium wyjściowe (próg zaliczenia 60%). Ocena niedostateczna z kolokwium wyjściowego oznacza niedopuszczenie studenta do egzaminu. Kolokwium wyjściowe można poprawiać dwukrotnie. </w:t>
            </w: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:rsidR="00FF091D" w:rsidRPr="002E296E" w:rsidRDefault="00FF091D" w:rsidP="00FF091D">
            <w:pPr>
              <w:ind w:left="360" w:firstLine="348"/>
              <w:jc w:val="both"/>
              <w:rPr>
                <w:rFonts w:eastAsia="Arial Unicode MS"/>
              </w:rPr>
            </w:pPr>
            <w:r w:rsidRPr="002E296E">
              <w:rPr>
                <w:rFonts w:eastAsia="Arial Unicode MS"/>
              </w:rPr>
              <w:t xml:space="preserve">Egzamin końcowy  jest egzaminem testowym i obejmuje całość zagadnień kursu farmakologii. Ocena końcowa z farmakologii </w:t>
            </w:r>
            <w:r>
              <w:rPr>
                <w:rFonts w:eastAsia="Arial Unicode MS"/>
              </w:rPr>
              <w:t>jest obliczana na podstawie oceny</w:t>
            </w:r>
            <w:r w:rsidRPr="002E296E">
              <w:rPr>
                <w:rFonts w:eastAsia="Arial Unicode MS"/>
              </w:rPr>
              <w:t xml:space="preserve"> z egzaminu końcowego (60%) oraz </w:t>
            </w:r>
            <w:r>
              <w:rPr>
                <w:rFonts w:eastAsia="Arial Unicode MS"/>
              </w:rPr>
              <w:t>średniej liczby punktów uzyskanych z</w:t>
            </w:r>
            <w:r w:rsidRPr="002E296E">
              <w:rPr>
                <w:rFonts w:eastAsia="Arial Unicode MS"/>
              </w:rPr>
              <w:t xml:space="preserve"> ćwiczeń</w:t>
            </w:r>
            <w:r>
              <w:rPr>
                <w:rFonts w:eastAsia="Arial Unicode MS"/>
              </w:rPr>
              <w:t>/seminariów</w:t>
            </w:r>
            <w:r w:rsidRPr="002E296E">
              <w:rPr>
                <w:rFonts w:eastAsia="Arial Unicode MS"/>
              </w:rPr>
              <w:t xml:space="preserve"> (40%). </w:t>
            </w:r>
          </w:p>
          <w:p w:rsidR="00FF091D" w:rsidRPr="002E296E" w:rsidRDefault="00FF091D" w:rsidP="00FF091D">
            <w:pPr>
              <w:ind w:left="360" w:firstLine="348"/>
              <w:jc w:val="both"/>
              <w:rPr>
                <w:rFonts w:eastAsia="Arial Unicode MS"/>
              </w:rPr>
            </w:pPr>
            <w:r w:rsidRPr="002E296E">
              <w:rPr>
                <w:rFonts w:eastAsia="Arial Unicode MS"/>
              </w:rPr>
              <w:t>Studenci, których średni</w:t>
            </w:r>
            <w:r>
              <w:rPr>
                <w:rFonts w:eastAsia="Arial Unicode MS"/>
              </w:rPr>
              <w:t>a liczba punktów z ćwiczeń i z seminariów wynosi co najmniej 8,</w:t>
            </w:r>
            <w:r w:rsidRPr="002E296E">
              <w:rPr>
                <w:rFonts w:eastAsia="Arial Unicode MS"/>
              </w:rPr>
              <w:t xml:space="preserve"> mogą przystąpić do egzaminu przedterminowego, a studenci których </w:t>
            </w:r>
            <w:r w:rsidRPr="002E296E">
              <w:rPr>
                <w:rFonts w:eastAsia="Arial Unicode MS"/>
              </w:rPr>
              <w:lastRenderedPageBreak/>
              <w:t>średnia</w:t>
            </w:r>
            <w:r>
              <w:rPr>
                <w:rFonts w:eastAsia="Arial Unicode MS"/>
              </w:rPr>
              <w:t xml:space="preserve"> liczba punktów z ćwiczeń i z seminariów przekracza 9,</w:t>
            </w:r>
            <w:r w:rsidRPr="002E296E">
              <w:rPr>
                <w:rFonts w:eastAsia="Arial Unicode MS"/>
              </w:rPr>
              <w:t xml:space="preserve"> zostaną zwolnieni z egzaminu końcowego. </w:t>
            </w:r>
            <w:r w:rsidRPr="002E296E">
              <w:rPr>
                <w:bCs/>
                <w:lang w:eastAsia="en-US"/>
              </w:rPr>
              <w:t xml:space="preserve">Warunkiem </w:t>
            </w:r>
            <w:r>
              <w:rPr>
                <w:bCs/>
                <w:lang w:eastAsia="en-US"/>
              </w:rPr>
              <w:t xml:space="preserve">zwolnienia z egzaminu lub </w:t>
            </w:r>
            <w:r w:rsidRPr="002E296E">
              <w:rPr>
                <w:bCs/>
                <w:lang w:eastAsia="en-US"/>
              </w:rPr>
              <w:t xml:space="preserve">przystąpienia do egzaminu przedterminowego jest uzyskanie odpowiedniej średniej </w:t>
            </w:r>
            <w:r>
              <w:rPr>
                <w:bCs/>
                <w:lang w:eastAsia="en-US"/>
              </w:rPr>
              <w:t>liczby punktów z ćwiczeń/seminariów łącznie, zdanie testu podsumowującego z odpowiednim wynikiem</w:t>
            </w:r>
            <w:r w:rsidRPr="002E296E">
              <w:rPr>
                <w:bCs/>
                <w:lang w:eastAsia="en-US"/>
              </w:rPr>
              <w:t xml:space="preserve">, </w:t>
            </w:r>
            <w:r w:rsidRPr="002E296E">
              <w:rPr>
                <w:rFonts w:eastAsia="Calibri"/>
                <w:lang w:eastAsia="en-US"/>
              </w:rPr>
              <w:t xml:space="preserve">nie więcej niż 1 nieobecność usprawiedliwiona </w:t>
            </w:r>
            <w:r w:rsidRPr="002E296E">
              <w:rPr>
                <w:bCs/>
                <w:lang w:eastAsia="en-US"/>
              </w:rPr>
              <w:t xml:space="preserve">oraz przestrzeganie zasad ujętych w regulaminie we wszystkich jego punktach. Studenci, którzy chcieliby uzyskać zwolnienie z egzaminu mają także obowiązek zaliczenia </w:t>
            </w:r>
            <w:r w:rsidRPr="002E296E">
              <w:rPr>
                <w:rFonts w:eastAsia="Calibri"/>
                <w:lang w:eastAsia="en-US"/>
              </w:rPr>
              <w:t>zagadnień z opuszczonych zajęć u egzaminatora.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FF091D" w:rsidRDefault="00FF091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F091D">
              <w:rPr>
                <w:bCs/>
                <w:lang w:eastAsia="en-US"/>
              </w:rPr>
              <w:t>Nie dotyczy</w:t>
            </w: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3C09BC" w:rsidRPr="008D4745">
              <w:rPr>
                <w:b w:val="0"/>
                <w:bCs w:val="0"/>
                <w:sz w:val="24"/>
                <w:lang w:eastAsia="en-US"/>
              </w:rPr>
              <w:t xml:space="preserve"> dr prof. Przemysław Mikołajczak, prof. UM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  <w:r w:rsidR="003C09BC">
              <w:rPr>
                <w:bCs w:val="0"/>
                <w:sz w:val="24"/>
                <w:lang w:eastAsia="en-US"/>
              </w:rPr>
              <w:t xml:space="preserve">: </w:t>
            </w:r>
            <w:r w:rsidR="003C09BC" w:rsidRPr="003C09BC">
              <w:rPr>
                <w:b w:val="0"/>
                <w:bCs w:val="0"/>
                <w:sz w:val="24"/>
                <w:lang w:eastAsia="en-US"/>
              </w:rPr>
              <w:t>61 8547262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  <w:r w:rsidR="003C09BC">
              <w:rPr>
                <w:bCs w:val="0"/>
                <w:sz w:val="24"/>
                <w:lang w:eastAsia="en-US"/>
              </w:rPr>
              <w:t>:</w:t>
            </w:r>
            <w:r w:rsidR="003C09BC" w:rsidRPr="003C09BC">
              <w:rPr>
                <w:b w:val="0"/>
                <w:bCs w:val="0"/>
                <w:sz w:val="24"/>
                <w:lang w:eastAsia="en-US"/>
              </w:rPr>
              <w:t>przemmik@ump.edu.pl</w:t>
            </w:r>
          </w:p>
          <w:p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:rsidR="003C09BC" w:rsidRPr="008D4745" w:rsidRDefault="003C09BC" w:rsidP="003C09BC">
            <w:pPr>
              <w:pStyle w:val="Tekstpodstawowy2"/>
              <w:spacing w:line="360" w:lineRule="auto"/>
              <w:ind w:left="720" w:hanging="360"/>
              <w:rPr>
                <w:b w:val="0"/>
                <w:bCs w:val="0"/>
                <w:sz w:val="24"/>
                <w:lang w:eastAsia="en-US"/>
              </w:rPr>
            </w:pPr>
            <w:r w:rsidRPr="008D4745">
              <w:rPr>
                <w:b w:val="0"/>
                <w:bCs w:val="0"/>
                <w:sz w:val="24"/>
                <w:lang w:eastAsia="en-US"/>
              </w:rPr>
              <w:t>Badania farmakologiczne prowadzone na zwierzętach laboratoryjnych:</w:t>
            </w:r>
          </w:p>
          <w:p w:rsidR="003C09BC" w:rsidRPr="00C06C94" w:rsidRDefault="003C09BC" w:rsidP="003C09BC">
            <w:pPr>
              <w:numPr>
                <w:ilvl w:val="0"/>
                <w:numId w:val="25"/>
              </w:numPr>
              <w:tabs>
                <w:tab w:val="left" w:pos="2160"/>
              </w:tabs>
              <w:rPr>
                <w:lang w:eastAsia="en-US"/>
              </w:rPr>
            </w:pPr>
            <w:r w:rsidRPr="00C06C94">
              <w:rPr>
                <w:lang w:eastAsia="en-US"/>
              </w:rPr>
              <w:t>Rola procesów zapalnych w powstawaniu i farmakoterapii wrzodów żołądka</w:t>
            </w:r>
          </w:p>
          <w:p w:rsidR="003C09BC" w:rsidRPr="00C06C94" w:rsidRDefault="003C09BC" w:rsidP="003C09BC">
            <w:pPr>
              <w:numPr>
                <w:ilvl w:val="0"/>
                <w:numId w:val="25"/>
              </w:numPr>
              <w:tabs>
                <w:tab w:val="left" w:pos="2160"/>
              </w:tabs>
              <w:rPr>
                <w:lang w:eastAsia="en-US"/>
              </w:rPr>
            </w:pPr>
            <w:r w:rsidRPr="00C06C94">
              <w:rPr>
                <w:lang w:eastAsia="en-US"/>
              </w:rPr>
              <w:t xml:space="preserve">Znaczenie czynników immunologicznych w działaniu wybranych leków przeciwdepresyjnych i </w:t>
            </w:r>
            <w:proofErr w:type="spellStart"/>
            <w:r w:rsidRPr="00C06C94">
              <w:rPr>
                <w:lang w:eastAsia="en-US"/>
              </w:rPr>
              <w:t>przeciwpsychotycznych</w:t>
            </w:r>
            <w:proofErr w:type="spellEnd"/>
            <w:r w:rsidRPr="00C06C94">
              <w:rPr>
                <w:lang w:eastAsia="en-US"/>
              </w:rPr>
              <w:t xml:space="preserve"> – badania eksperymentalne</w:t>
            </w:r>
          </w:p>
          <w:p w:rsidR="003C09BC" w:rsidRPr="00C06C94" w:rsidRDefault="003C09BC" w:rsidP="003C09BC">
            <w:pPr>
              <w:numPr>
                <w:ilvl w:val="0"/>
                <w:numId w:val="25"/>
              </w:numPr>
              <w:tabs>
                <w:tab w:val="left" w:pos="2160"/>
              </w:tabs>
              <w:rPr>
                <w:lang w:eastAsia="en-US"/>
              </w:rPr>
            </w:pPr>
            <w:r w:rsidRPr="00C06C94">
              <w:rPr>
                <w:lang w:eastAsia="en-US"/>
              </w:rPr>
              <w:t xml:space="preserve">Poszukiwania markerów biologicznych uzależnienia od alkoholu i farmakologicznych możliwości znoszenia skutków choroby alkoholowej </w:t>
            </w:r>
          </w:p>
          <w:p w:rsidR="003C09BC" w:rsidRPr="00C06C94" w:rsidRDefault="003C09BC" w:rsidP="003C09BC">
            <w:pPr>
              <w:numPr>
                <w:ilvl w:val="0"/>
                <w:numId w:val="25"/>
              </w:numPr>
              <w:tabs>
                <w:tab w:val="left" w:pos="2160"/>
              </w:tabs>
              <w:rPr>
                <w:lang w:eastAsia="en-US"/>
              </w:rPr>
            </w:pPr>
            <w:r w:rsidRPr="00C06C94">
              <w:rPr>
                <w:lang w:eastAsia="en-US"/>
              </w:rPr>
              <w:t xml:space="preserve">Badania wyciągów i związków czynnych pochodzenia roślinnego o spodziewanym działaniu przeciwzapalnym i przeciwbólowym.  </w:t>
            </w:r>
          </w:p>
          <w:p w:rsidR="003C09BC" w:rsidRPr="00C06C94" w:rsidRDefault="003C09BC" w:rsidP="003C09BC">
            <w:pPr>
              <w:numPr>
                <w:ilvl w:val="0"/>
                <w:numId w:val="25"/>
              </w:numPr>
              <w:tabs>
                <w:tab w:val="left" w:pos="2160"/>
              </w:tabs>
              <w:rPr>
                <w:lang w:eastAsia="en-US"/>
              </w:rPr>
            </w:pPr>
            <w:r w:rsidRPr="00C06C94">
              <w:rPr>
                <w:lang w:eastAsia="en-US"/>
              </w:rPr>
              <w:t xml:space="preserve">Badania nowych leków cytostatycznych, ich metabolizmu, farmakokinetyki i molekularnego mechanizmu działania </w:t>
            </w:r>
          </w:p>
          <w:p w:rsidR="003C09BC" w:rsidRPr="00C06C94" w:rsidRDefault="003C09BC" w:rsidP="003C09BC">
            <w:pPr>
              <w:numPr>
                <w:ilvl w:val="0"/>
                <w:numId w:val="25"/>
              </w:numPr>
              <w:tabs>
                <w:tab w:val="left" w:pos="2160"/>
              </w:tabs>
              <w:rPr>
                <w:lang w:eastAsia="en-US"/>
              </w:rPr>
            </w:pPr>
            <w:r w:rsidRPr="00C06C94">
              <w:rPr>
                <w:lang w:eastAsia="en-US"/>
              </w:rPr>
              <w:t xml:space="preserve">Badania interakcji leków podczas transportu domózgowego </w:t>
            </w:r>
          </w:p>
          <w:p w:rsidR="003C09BC" w:rsidRPr="00C06C94" w:rsidRDefault="003C09BC" w:rsidP="003C09BC">
            <w:pPr>
              <w:numPr>
                <w:ilvl w:val="0"/>
                <w:numId w:val="25"/>
              </w:numPr>
              <w:tabs>
                <w:tab w:val="left" w:pos="2160"/>
              </w:tabs>
              <w:rPr>
                <w:lang w:eastAsia="en-US"/>
              </w:rPr>
            </w:pPr>
            <w:r w:rsidRPr="00C06C94">
              <w:rPr>
                <w:lang w:eastAsia="en-US"/>
              </w:rPr>
              <w:t>Poszukiwanie nowych środków farmakologicznych skutecznych w leczeniu cukrzycy</w:t>
            </w:r>
          </w:p>
          <w:p w:rsidR="003C09BC" w:rsidRPr="003C09BC" w:rsidRDefault="003C09BC" w:rsidP="003C09BC">
            <w:pPr>
              <w:pStyle w:val="Tekstpodstawowy2"/>
              <w:spacing w:line="360" w:lineRule="auto"/>
              <w:ind w:left="720" w:hanging="360"/>
              <w:rPr>
                <w:b w:val="0"/>
                <w:bCs w:val="0"/>
                <w:sz w:val="24"/>
                <w:lang w:eastAsia="en-US"/>
              </w:rPr>
            </w:pPr>
            <w:r w:rsidRPr="008D4745">
              <w:rPr>
                <w:b w:val="0"/>
                <w:bCs w:val="0"/>
                <w:sz w:val="24"/>
                <w:lang w:eastAsia="en-US"/>
              </w:rPr>
              <w:t xml:space="preserve">Badania farmakologiczne prowadzone na materiale biologicznym pochodzącym od pacjentów: </w:t>
            </w:r>
            <w:r w:rsidRPr="008D4745">
              <w:rPr>
                <w:b w:val="0"/>
                <w:sz w:val="24"/>
                <w:lang w:eastAsia="en-US"/>
              </w:rPr>
              <w:t>Wpływ leków stosowanych u chorych na cukrzycę  na patomechanizm przewlekłych powikłań cukrzycy</w:t>
            </w:r>
          </w:p>
          <w:p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strona </w:t>
            </w:r>
            <w:r w:rsidR="003C09BC">
              <w:rPr>
                <w:bCs w:val="0"/>
                <w:sz w:val="24"/>
                <w:lang w:eastAsia="en-US"/>
              </w:rPr>
              <w:t xml:space="preserve">WWW: </w:t>
            </w:r>
            <w:r w:rsidR="003C09BC" w:rsidRPr="003C09BC">
              <w:rPr>
                <w:b w:val="0"/>
                <w:bCs w:val="0"/>
                <w:sz w:val="24"/>
                <w:lang w:eastAsia="en-US"/>
              </w:rPr>
              <w:t>WWW.farmakologia.ump.edu.pl</w:t>
            </w: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FC5A36" w:rsidRDefault="0013702D" w:rsidP="003C09BC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Podpis osoby odpowiedzialnej za nauczanie przedmiotu lub koordynatora</w:t>
      </w:r>
      <w:r w:rsidR="003C09BC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:rsidR="0013702D" w:rsidRDefault="0013702D" w:rsidP="00E846C5">
      <w:pPr>
        <w:ind w:left="360"/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ind w:left="360"/>
        <w:jc w:val="both"/>
        <w:rPr>
          <w:b/>
          <w:color w:val="000000" w:themeColor="text1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</w:p>
    <w:p w:rsidR="00FF091D" w:rsidRPr="00FF091D" w:rsidRDefault="00FF091D" w:rsidP="00FF091D">
      <w:pPr>
        <w:ind w:left="360"/>
        <w:jc w:val="right"/>
        <w:rPr>
          <w:i/>
          <w:strike/>
          <w:color w:val="003300"/>
        </w:rPr>
      </w:pPr>
      <w:r w:rsidRPr="00FF091D">
        <w:rPr>
          <w:i/>
          <w:color w:val="003300"/>
        </w:rPr>
        <w:lastRenderedPageBreak/>
        <w:t>Marzena Dworacka</w:t>
      </w:r>
    </w:p>
    <w:p w:rsidR="0013702D" w:rsidRDefault="0013702D" w:rsidP="00E846C5"/>
    <w:p w:rsidR="0013702D" w:rsidRDefault="0013702D" w:rsidP="00E846C5"/>
    <w:p w:rsidR="0013702D" w:rsidRDefault="0013702D" w:rsidP="00E846C5"/>
    <w:p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:rsidR="0013702D" w:rsidRDefault="0013702D" w:rsidP="00E846C5"/>
    <w:p w:rsidR="0013702D" w:rsidRDefault="0013702D" w:rsidP="00E846C5"/>
    <w:p w:rsidR="0013702D" w:rsidRDefault="0013702D"/>
    <w:sectPr w:rsidR="0013702D" w:rsidSect="007121DC"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0E" w:rsidRDefault="0088730E" w:rsidP="00FF41DA">
      <w:r>
        <w:separator/>
      </w:r>
    </w:p>
  </w:endnote>
  <w:endnote w:type="continuationSeparator" w:id="0">
    <w:p w:rsidR="0088730E" w:rsidRDefault="0088730E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46" w:rsidRDefault="00407087">
    <w:pPr>
      <w:pStyle w:val="Stopka"/>
      <w:jc w:val="right"/>
    </w:pPr>
    <w:r>
      <w:fldChar w:fldCharType="begin"/>
    </w:r>
    <w:r w:rsidR="00476C46">
      <w:instrText>PAGE   \* MERGEFORMAT</w:instrText>
    </w:r>
    <w:r>
      <w:fldChar w:fldCharType="separate"/>
    </w:r>
    <w:r w:rsidR="003C0D45">
      <w:rPr>
        <w:noProof/>
      </w:rPr>
      <w:t>1</w:t>
    </w:r>
    <w:r>
      <w:fldChar w:fldCharType="end"/>
    </w:r>
  </w:p>
  <w:p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0E" w:rsidRDefault="0088730E" w:rsidP="00FF41DA">
      <w:r>
        <w:separator/>
      </w:r>
    </w:p>
  </w:footnote>
  <w:footnote w:type="continuationSeparator" w:id="0">
    <w:p w:rsidR="0088730E" w:rsidRDefault="0088730E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51890"/>
    <w:multiLevelType w:val="hybridMultilevel"/>
    <w:tmpl w:val="FF5C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1DB7"/>
    <w:multiLevelType w:val="hybridMultilevel"/>
    <w:tmpl w:val="531C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6029E"/>
    <w:multiLevelType w:val="hybridMultilevel"/>
    <w:tmpl w:val="35F8DEC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11CF"/>
    <w:multiLevelType w:val="hybridMultilevel"/>
    <w:tmpl w:val="BD52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B1B4E"/>
    <w:multiLevelType w:val="hybridMultilevel"/>
    <w:tmpl w:val="4C802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510F93"/>
    <w:multiLevelType w:val="hybridMultilevel"/>
    <w:tmpl w:val="8E6C45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D1154E"/>
    <w:multiLevelType w:val="hybridMultilevel"/>
    <w:tmpl w:val="B254B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53E3"/>
    <w:multiLevelType w:val="hybridMultilevel"/>
    <w:tmpl w:val="E960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726D2"/>
    <w:multiLevelType w:val="hybridMultilevel"/>
    <w:tmpl w:val="0A36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3A3848"/>
    <w:multiLevelType w:val="hybridMultilevel"/>
    <w:tmpl w:val="E2E4F8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1"/>
  </w:num>
  <w:num w:numId="12">
    <w:abstractNumId w:val="20"/>
  </w:num>
  <w:num w:numId="13">
    <w:abstractNumId w:val="5"/>
  </w:num>
  <w:num w:numId="14">
    <w:abstractNumId w:val="10"/>
  </w:num>
  <w:num w:numId="15">
    <w:abstractNumId w:val="2"/>
  </w:num>
  <w:num w:numId="16">
    <w:abstractNumId w:val="21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  <w:num w:numId="21">
    <w:abstractNumId w:val="16"/>
  </w:num>
  <w:num w:numId="22">
    <w:abstractNumId w:val="8"/>
  </w:num>
  <w:num w:numId="23">
    <w:abstractNumId w:val="18"/>
  </w:num>
  <w:num w:numId="24">
    <w:abstractNumId w:val="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59"/>
    <w:rsid w:val="00002757"/>
    <w:rsid w:val="000072D1"/>
    <w:rsid w:val="00024F7C"/>
    <w:rsid w:val="00053CDA"/>
    <w:rsid w:val="00067F26"/>
    <w:rsid w:val="00096782"/>
    <w:rsid w:val="000E65EC"/>
    <w:rsid w:val="000F54FF"/>
    <w:rsid w:val="0013702D"/>
    <w:rsid w:val="00150259"/>
    <w:rsid w:val="00190F05"/>
    <w:rsid w:val="00193E11"/>
    <w:rsid w:val="001B18AA"/>
    <w:rsid w:val="00293370"/>
    <w:rsid w:val="002942E7"/>
    <w:rsid w:val="002B289A"/>
    <w:rsid w:val="002C0686"/>
    <w:rsid w:val="003865A3"/>
    <w:rsid w:val="0039144B"/>
    <w:rsid w:val="00397C8E"/>
    <w:rsid w:val="003C09BC"/>
    <w:rsid w:val="003C0D45"/>
    <w:rsid w:val="003E47CE"/>
    <w:rsid w:val="003F4142"/>
    <w:rsid w:val="00407087"/>
    <w:rsid w:val="0045753C"/>
    <w:rsid w:val="00461591"/>
    <w:rsid w:val="004753CB"/>
    <w:rsid w:val="00476C46"/>
    <w:rsid w:val="004C774E"/>
    <w:rsid w:val="005172A8"/>
    <w:rsid w:val="005338F3"/>
    <w:rsid w:val="0056717B"/>
    <w:rsid w:val="00575DA1"/>
    <w:rsid w:val="00576057"/>
    <w:rsid w:val="005E3FF7"/>
    <w:rsid w:val="00600AC9"/>
    <w:rsid w:val="00610D49"/>
    <w:rsid w:val="0069789F"/>
    <w:rsid w:val="006B1A2A"/>
    <w:rsid w:val="006B581E"/>
    <w:rsid w:val="006F5B0B"/>
    <w:rsid w:val="007121DC"/>
    <w:rsid w:val="00723227"/>
    <w:rsid w:val="007519BB"/>
    <w:rsid w:val="0076283C"/>
    <w:rsid w:val="00770C55"/>
    <w:rsid w:val="007A6A1E"/>
    <w:rsid w:val="007D003C"/>
    <w:rsid w:val="007E5B68"/>
    <w:rsid w:val="007F6BF2"/>
    <w:rsid w:val="0088730E"/>
    <w:rsid w:val="008A6CC4"/>
    <w:rsid w:val="008B3136"/>
    <w:rsid w:val="00902117"/>
    <w:rsid w:val="00902127"/>
    <w:rsid w:val="00950530"/>
    <w:rsid w:val="00950A0C"/>
    <w:rsid w:val="009E21EE"/>
    <w:rsid w:val="00A269CE"/>
    <w:rsid w:val="00AC47EA"/>
    <w:rsid w:val="00B174DD"/>
    <w:rsid w:val="00B3324D"/>
    <w:rsid w:val="00B636FA"/>
    <w:rsid w:val="00B66672"/>
    <w:rsid w:val="00B71406"/>
    <w:rsid w:val="00B8009C"/>
    <w:rsid w:val="00BE4DDF"/>
    <w:rsid w:val="00BF21E3"/>
    <w:rsid w:val="00C20BAA"/>
    <w:rsid w:val="00C6561F"/>
    <w:rsid w:val="00CA7DB9"/>
    <w:rsid w:val="00CD4895"/>
    <w:rsid w:val="00D37C1F"/>
    <w:rsid w:val="00D52197"/>
    <w:rsid w:val="00D84F82"/>
    <w:rsid w:val="00DF5BDF"/>
    <w:rsid w:val="00E01E32"/>
    <w:rsid w:val="00E669EB"/>
    <w:rsid w:val="00E826ED"/>
    <w:rsid w:val="00E846C5"/>
    <w:rsid w:val="00EF4080"/>
    <w:rsid w:val="00F1161C"/>
    <w:rsid w:val="00F40F0E"/>
    <w:rsid w:val="00F66050"/>
    <w:rsid w:val="00F80109"/>
    <w:rsid w:val="00FC5A36"/>
    <w:rsid w:val="00FF091D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172A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02117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ologia@ump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rmakologia.ump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ata_gr@wp.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zapor@u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3116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2018-06-06T06:07:00Z</dcterms:created>
  <dcterms:modified xsi:type="dcterms:W3CDTF">2018-06-06T06:07:00Z</dcterms:modified>
</cp:coreProperties>
</file>