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3B" w:rsidRPr="0042303B" w:rsidRDefault="0042303B" w:rsidP="0042303B">
      <w:pPr>
        <w:spacing w:after="0" w:line="240" w:lineRule="auto"/>
        <w:rPr>
          <w:rFonts w:eastAsia="Times New Roman" w:cs="Arial"/>
          <w:lang w:eastAsia="pl-PL"/>
        </w:rPr>
      </w:pPr>
      <w:r w:rsidRPr="0042303B">
        <w:rPr>
          <w:rFonts w:eastAsia="Times New Roman" w:cs="Arial"/>
          <w:lang w:eastAsia="pl-PL"/>
        </w:rPr>
        <w:t>Streszczenie</w:t>
      </w:r>
    </w:p>
    <w:p w:rsidR="0042303B" w:rsidRPr="0042303B" w:rsidRDefault="0042303B" w:rsidP="0042303B">
      <w:pPr>
        <w:spacing w:after="0" w:line="240" w:lineRule="auto"/>
        <w:rPr>
          <w:rFonts w:eastAsia="Times New Roman" w:cs="Arial"/>
          <w:lang w:eastAsia="pl-PL"/>
        </w:rPr>
      </w:pPr>
      <w:r w:rsidRPr="0042303B">
        <w:rPr>
          <w:rFonts w:eastAsia="Times New Roman" w:cs="Arial"/>
          <w:lang w:eastAsia="pl-PL"/>
        </w:rPr>
        <w:t>Nużeniec ludzki (</w:t>
      </w:r>
      <w:proofErr w:type="spellStart"/>
      <w:r w:rsidRPr="0042303B">
        <w:rPr>
          <w:rFonts w:eastAsia="Times New Roman" w:cs="Times New Roman"/>
          <w:lang w:eastAsia="pl-PL"/>
        </w:rPr>
        <w:t>Demodex</w:t>
      </w:r>
      <w:proofErr w:type="spellEnd"/>
      <w:r w:rsidRPr="0042303B">
        <w:rPr>
          <w:rFonts w:eastAsia="Times New Roman" w:cs="Times New Roman"/>
          <w:lang w:eastAsia="pl-PL"/>
        </w:rPr>
        <w:t xml:space="preserve"> </w:t>
      </w:r>
      <w:proofErr w:type="spellStart"/>
      <w:r w:rsidRPr="0042303B">
        <w:rPr>
          <w:rFonts w:eastAsia="Times New Roman" w:cs="Times New Roman"/>
          <w:lang w:eastAsia="pl-PL"/>
        </w:rPr>
        <w:t>folliculorum</w:t>
      </w:r>
      <w:proofErr w:type="spellEnd"/>
      <w:r w:rsidRPr="0042303B">
        <w:rPr>
          <w:rFonts w:eastAsia="Times New Roman" w:cs="Times New Roman"/>
          <w:lang w:eastAsia="pl-PL"/>
        </w:rPr>
        <w:t>)</w:t>
      </w:r>
      <w:r w:rsidRPr="0042303B">
        <w:rPr>
          <w:rFonts w:eastAsia="Times New Roman" w:cs="Arial"/>
          <w:lang w:eastAsia="pl-PL"/>
        </w:rPr>
        <w:t>i nużeniec krótki (</w:t>
      </w:r>
      <w:proofErr w:type="spellStart"/>
      <w:r w:rsidRPr="0042303B">
        <w:rPr>
          <w:rFonts w:eastAsia="Times New Roman" w:cs="Times New Roman"/>
          <w:lang w:eastAsia="pl-PL"/>
        </w:rPr>
        <w:t>Demodex</w:t>
      </w:r>
      <w:proofErr w:type="spellEnd"/>
      <w:r w:rsidRPr="0042303B">
        <w:rPr>
          <w:rFonts w:eastAsia="Times New Roman" w:cs="Times New Roman"/>
          <w:lang w:eastAsia="pl-PL"/>
        </w:rPr>
        <w:t xml:space="preserve"> </w:t>
      </w:r>
      <w:proofErr w:type="spellStart"/>
      <w:r w:rsidRPr="0042303B">
        <w:rPr>
          <w:rFonts w:eastAsia="Times New Roman" w:cs="Times New Roman"/>
          <w:lang w:eastAsia="pl-PL"/>
        </w:rPr>
        <w:t>brevis</w:t>
      </w:r>
      <w:proofErr w:type="spellEnd"/>
      <w:r w:rsidRPr="0042303B">
        <w:rPr>
          <w:rFonts w:eastAsia="Times New Roman" w:cs="Times New Roman"/>
          <w:lang w:eastAsia="pl-PL"/>
        </w:rPr>
        <w:t xml:space="preserve">) </w:t>
      </w:r>
      <w:r w:rsidRPr="0042303B">
        <w:rPr>
          <w:rFonts w:eastAsia="Times New Roman" w:cs="Arial"/>
          <w:lang w:eastAsia="pl-PL"/>
        </w:rPr>
        <w:t>należą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 xml:space="preserve">do najczęściej występujących ektopasożytów u ludzi. Miejsce ich bytowania obejmuje rozległy obszar na ciele człowieka </w:t>
      </w:r>
      <w:r>
        <w:rPr>
          <w:rFonts w:eastAsia="Times New Roman" w:cs="Arial"/>
          <w:lang w:eastAsia="pl-PL"/>
        </w:rPr>
        <w:t>–</w:t>
      </w:r>
      <w:r w:rsidRPr="0042303B">
        <w:rPr>
          <w:rFonts w:eastAsia="Times New Roman" w:cs="Arial"/>
          <w:lang w:eastAsia="pl-PL"/>
        </w:rPr>
        <w:t xml:space="preserve"> skórę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 xml:space="preserve">twarzy wraz ze </w:t>
      </w:r>
      <w:proofErr w:type="spellStart"/>
      <w:r w:rsidRPr="0042303B">
        <w:rPr>
          <w:rFonts w:eastAsia="Times New Roman" w:cs="Arial"/>
          <w:lang w:eastAsia="pl-PL"/>
        </w:rPr>
        <w:t>skórąi</w:t>
      </w:r>
      <w:proofErr w:type="spellEnd"/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 xml:space="preserve"> brzegiem powiek, skórę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klatki</w:t>
      </w:r>
      <w:r>
        <w:rPr>
          <w:rFonts w:eastAsia="Times New Roman" w:cs="Arial"/>
          <w:lang w:eastAsia="pl-PL"/>
        </w:rPr>
        <w:t xml:space="preserve"> piersiowej, okolic genitalnych </w:t>
      </w:r>
      <w:r w:rsidRPr="0042303B">
        <w:rPr>
          <w:rFonts w:eastAsia="Times New Roman" w:cs="Arial"/>
          <w:lang w:eastAsia="pl-PL"/>
        </w:rPr>
        <w:t xml:space="preserve">oraz przewodów słuchowych zewnętrznych. </w:t>
      </w:r>
    </w:p>
    <w:p w:rsidR="0042303B" w:rsidRPr="0042303B" w:rsidRDefault="0042303B" w:rsidP="0042303B">
      <w:pPr>
        <w:spacing w:after="0" w:line="240" w:lineRule="auto"/>
        <w:rPr>
          <w:rFonts w:eastAsia="Times New Roman" w:cs="Arial"/>
          <w:lang w:eastAsia="pl-PL"/>
        </w:rPr>
      </w:pPr>
      <w:r w:rsidRPr="0042303B">
        <w:rPr>
          <w:rFonts w:eastAsia="Times New Roman" w:cs="Arial"/>
          <w:lang w:eastAsia="pl-PL"/>
        </w:rPr>
        <w:t xml:space="preserve">Taka lokalizacja wzbudza zainteresowanie nużeńcem specjalistów z różnych dziedzin. </w:t>
      </w:r>
    </w:p>
    <w:p w:rsidR="0042303B" w:rsidRPr="0042303B" w:rsidRDefault="0042303B" w:rsidP="0042303B">
      <w:pPr>
        <w:spacing w:after="0" w:line="240" w:lineRule="auto"/>
        <w:rPr>
          <w:rFonts w:eastAsia="Times New Roman" w:cs="Arial"/>
          <w:lang w:eastAsia="pl-PL"/>
        </w:rPr>
      </w:pPr>
      <w:r w:rsidRPr="0042303B">
        <w:rPr>
          <w:rFonts w:eastAsia="Times New Roman" w:cs="Arial"/>
          <w:lang w:eastAsia="pl-PL"/>
        </w:rPr>
        <w:t>Od lat toczą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oni dyskusje na temat patogenności roztoczy. Część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naukowców dopatruje się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w nużeńcu przyczyny chorób skóry, chorób związanych z aparatem ochronnym oka oraz jego powierzchnią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a także świądu ucha zewnętrznego. Są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jednak tacy, którzy uważają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 xml:space="preserve">nużeńca za komensala, będącego składnikiem mikroflory i żyjącego w symbiozie z organizmem ludzkim. </w:t>
      </w:r>
    </w:p>
    <w:p w:rsidR="0042303B" w:rsidRPr="0042303B" w:rsidRDefault="0042303B" w:rsidP="0042303B">
      <w:pPr>
        <w:spacing w:after="0" w:line="240" w:lineRule="auto"/>
        <w:rPr>
          <w:rFonts w:eastAsia="Times New Roman" w:cs="Arial"/>
          <w:lang w:eastAsia="pl-PL"/>
        </w:rPr>
      </w:pPr>
      <w:r w:rsidRPr="0042303B">
        <w:rPr>
          <w:rFonts w:eastAsia="Times New Roman" w:cs="Arial"/>
          <w:lang w:eastAsia="pl-PL"/>
        </w:rPr>
        <w:t>Temat patogenności nużeńca jest istotny ze względu na jego powszechność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 xml:space="preserve">występowania i znaczenie kliniczne. </w:t>
      </w:r>
    </w:p>
    <w:p w:rsidR="0042303B" w:rsidRDefault="0042303B" w:rsidP="0042303B">
      <w:pPr>
        <w:spacing w:after="0" w:line="240" w:lineRule="auto"/>
        <w:rPr>
          <w:rFonts w:eastAsia="Times New Roman" w:cs="Arial"/>
          <w:lang w:eastAsia="pl-PL"/>
        </w:rPr>
      </w:pPr>
      <w:r w:rsidRPr="0042303B">
        <w:rPr>
          <w:rFonts w:eastAsia="Times New Roman" w:cs="Arial"/>
          <w:lang w:eastAsia="pl-PL"/>
        </w:rPr>
        <w:t xml:space="preserve">Celem pracy była ocena częstości występowania nużeńca w wybranych </w:t>
      </w:r>
      <w:r>
        <w:rPr>
          <w:rFonts w:eastAsia="Times New Roman" w:cs="Arial"/>
          <w:lang w:eastAsia="pl-PL"/>
        </w:rPr>
        <w:t xml:space="preserve">chorobach odcinka </w:t>
      </w:r>
      <w:r w:rsidRPr="0042303B">
        <w:rPr>
          <w:rFonts w:eastAsia="Times New Roman" w:cs="Arial"/>
          <w:lang w:eastAsia="pl-PL"/>
        </w:rPr>
        <w:t>przedniego oka, objawów mogących mieć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związek z obecnością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pasożyta, a także ocena jego udziału w pojawieniu się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dolegliwości zgłaszanych przez pacjentów. Ponadto dokonano oceny flory bakteryjnej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worka spojówkowego badanych osób, a wyniki odniesiono do danych z piśmiennictwa mówiących o mikroorganizmach mogących mieć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związek z obecnością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nużeńca. Zbadano również</w:t>
      </w:r>
    </w:p>
    <w:p w:rsidR="0042303B" w:rsidRPr="0042303B" w:rsidRDefault="0042303B" w:rsidP="0042303B">
      <w:pPr>
        <w:spacing w:after="0" w:line="240" w:lineRule="auto"/>
        <w:rPr>
          <w:rFonts w:eastAsia="Times New Roman" w:cs="Arial"/>
          <w:lang w:eastAsia="pl-PL"/>
        </w:rPr>
      </w:pPr>
      <w:r w:rsidRPr="0042303B">
        <w:rPr>
          <w:rFonts w:eastAsia="Times New Roman" w:cs="Arial"/>
          <w:lang w:eastAsia="pl-PL"/>
        </w:rPr>
        <w:t xml:space="preserve">poziom stężenia interleukiny-12 oraz 17A we łzach pacjentów celem określenia potencjalnego związku pasożyta ze wzrostem stężenia cytokin prozapalnych. </w:t>
      </w:r>
      <w:r>
        <w:rPr>
          <w:rFonts w:eastAsia="Times New Roman" w:cs="Arial"/>
          <w:lang w:eastAsia="pl-PL"/>
        </w:rPr>
        <w:t xml:space="preserve">Zbadano 109 pacjentów, których </w:t>
      </w:r>
      <w:r w:rsidRPr="0042303B">
        <w:rPr>
          <w:rFonts w:eastAsia="Times New Roman" w:cs="Arial"/>
          <w:lang w:eastAsia="pl-PL"/>
        </w:rPr>
        <w:t>podzielono na grupy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w zależności od występowania objawów na pacjentów objawowych i bezobjawowych, a także w zależności od występowania nużeńca na grupę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 xml:space="preserve">z nużeńcem i bez. </w:t>
      </w:r>
    </w:p>
    <w:p w:rsidR="0042303B" w:rsidRPr="0042303B" w:rsidRDefault="0042303B" w:rsidP="0042303B">
      <w:pPr>
        <w:spacing w:after="0" w:line="240" w:lineRule="auto"/>
        <w:rPr>
          <w:rFonts w:eastAsia="Times New Roman" w:cs="Arial"/>
          <w:lang w:eastAsia="pl-PL"/>
        </w:rPr>
      </w:pPr>
      <w:r w:rsidRPr="0042303B">
        <w:rPr>
          <w:rFonts w:eastAsia="Times New Roman" w:cs="Arial"/>
          <w:lang w:eastAsia="pl-PL"/>
        </w:rPr>
        <w:t>Grupę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pacjentów objawowych stanowiły 64 osoby, w tym 37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kobiet w wieku od 25 do 84 lat (średnia 65,81) i 27 mężczyzn w wieku od 28 do 89 (średnia 64,52). Byli to pacjenci którzy w chwili przeprowadzania badania zgłaszali dolegliwości związane z chorobami powiek lub powierzchni oka. Grupę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pacjentów bezobjawowych stanowiło 45 osób, w tym 25 kobiet w wieku od 24 do 85 lat (średnia 67,72) oraz 20 mężczyzn w 98 wieku od 25 do 84 lat (średnia 62,30), którzy podczas przeprowadzania badania nie podawali dolegliwości związanych z chorobami powiek oraz powierzchni oka. Wszyscy badani byli pacjentami Poradni Ogólnej lub Oddziału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Okulistycznego Katedry i Kliniki Okulistyki UM w Poznaniu. Spośród wszystkich badanych pacjentów, grupę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 xml:space="preserve">z nużeńcem stanowiły 74 osoby, w tym 41 kobiet w wieku od 28 do 85 lat (średnia 68,98) i 33 mężczyzn w wieku od 29 do 89 lat (średnia 67,24). Obecności nużeńca nie stwierdzono u 35 pacjentów w tym 21 kobiet w wieku od 24 do 84 (średnia wieku 61,70) i 14 mężczyzn w wieku od 25 do 82 lat (średnia wieku 54,93). </w:t>
      </w:r>
    </w:p>
    <w:p w:rsidR="0042303B" w:rsidRPr="0042303B" w:rsidRDefault="0042303B" w:rsidP="0042303B">
      <w:pPr>
        <w:spacing w:after="0" w:line="240" w:lineRule="auto"/>
        <w:rPr>
          <w:rFonts w:eastAsia="Times New Roman" w:cs="Arial"/>
          <w:lang w:eastAsia="pl-PL"/>
        </w:rPr>
      </w:pPr>
      <w:r w:rsidRPr="0042303B">
        <w:rPr>
          <w:rFonts w:eastAsia="Times New Roman" w:cs="Arial"/>
          <w:lang w:eastAsia="pl-PL"/>
        </w:rPr>
        <w:t>U wszystkich pacjentów przeprowadzono pełne badanie okulistyczne oraz badanie w kierunku obecności nużeńca w mieszkach włosowych rzęs, brwi i na powierzchni skóry powiek. Materiał do badań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 xml:space="preserve">stanowiły zeskrobiny naskórka oraz rzęsy i brwi pobrane z różnych lokalizacji. Dodatkowo u czci pacjentów zbadano łzy pod kątem poziomu wybranych cytokin zapalnych (IL-12 oraz IL-17A) oraz pobrano wymaz z worka spojówkowego celem oceny flory bakteryjnej. Wszelkie nieprawidłowości dotyczące narządu wzroku odnotowano w protokole badania. </w:t>
      </w:r>
    </w:p>
    <w:p w:rsidR="0042303B" w:rsidRPr="0042303B" w:rsidRDefault="0042303B" w:rsidP="0042303B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Nie wykazano zale</w:t>
      </w:r>
      <w:r w:rsidRPr="0042303B">
        <w:rPr>
          <w:rFonts w:eastAsia="Times New Roman" w:cs="Arial"/>
          <w:lang w:eastAsia="pl-PL"/>
        </w:rPr>
        <w:t>żności pomiędzy płcią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 xml:space="preserve">pacjentów a występowaniem nużeńca. </w:t>
      </w:r>
    </w:p>
    <w:p w:rsidR="0042303B" w:rsidRPr="0042303B" w:rsidRDefault="0042303B" w:rsidP="0042303B">
      <w:pPr>
        <w:spacing w:after="0" w:line="240" w:lineRule="auto"/>
        <w:rPr>
          <w:rFonts w:eastAsia="Times New Roman" w:cs="Arial"/>
          <w:lang w:eastAsia="pl-PL"/>
        </w:rPr>
      </w:pPr>
      <w:r w:rsidRPr="0042303B">
        <w:rPr>
          <w:rFonts w:eastAsia="Times New Roman" w:cs="Arial"/>
          <w:lang w:eastAsia="pl-PL"/>
        </w:rPr>
        <w:t>Stwierdzono natomiast zależność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między wiekiem pacjentów a występowaniem pasożyta - częstość</w:t>
      </w:r>
    </w:p>
    <w:p w:rsidR="0042303B" w:rsidRPr="0042303B" w:rsidRDefault="0042303B" w:rsidP="0042303B">
      <w:pPr>
        <w:spacing w:after="0" w:line="240" w:lineRule="auto"/>
        <w:rPr>
          <w:rFonts w:eastAsia="Times New Roman" w:cs="Arial"/>
          <w:lang w:eastAsia="pl-PL"/>
        </w:rPr>
      </w:pPr>
      <w:r w:rsidRPr="0042303B">
        <w:rPr>
          <w:rFonts w:eastAsia="Times New Roman" w:cs="Arial"/>
          <w:lang w:eastAsia="pl-PL"/>
        </w:rPr>
        <w:t xml:space="preserve">jego występowania wzrastała wraz z wiekiem pacjentów. </w:t>
      </w:r>
    </w:p>
    <w:p w:rsidR="0042303B" w:rsidRPr="0042303B" w:rsidRDefault="0042303B" w:rsidP="0042303B">
      <w:pPr>
        <w:spacing w:after="0" w:line="240" w:lineRule="auto"/>
        <w:rPr>
          <w:rFonts w:eastAsia="Times New Roman" w:cs="Arial"/>
          <w:lang w:eastAsia="pl-PL"/>
        </w:rPr>
      </w:pPr>
      <w:r w:rsidRPr="0042303B">
        <w:rPr>
          <w:rFonts w:eastAsia="Times New Roman" w:cs="Arial"/>
          <w:lang w:eastAsia="pl-PL"/>
        </w:rPr>
        <w:t>Na podstawie oceny częstości występowania nużeńca w poszczególnych chorobach aparatu ochronnego oraz powierzchni oka, stwierdzono możliwość</w:t>
      </w:r>
      <w:r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udziału pasoż</w:t>
      </w:r>
      <w:r>
        <w:rPr>
          <w:rFonts w:eastAsia="Times New Roman" w:cs="Arial"/>
          <w:lang w:eastAsia="pl-PL"/>
        </w:rPr>
        <w:t xml:space="preserve">yta w rozwoju jednostek </w:t>
      </w:r>
      <w:r w:rsidRPr="0042303B">
        <w:rPr>
          <w:rFonts w:eastAsia="Times New Roman" w:cs="Arial"/>
          <w:lang w:eastAsia="pl-PL"/>
        </w:rPr>
        <w:t xml:space="preserve">chorobowych takich jak: zapalenie brzegów powiek oraz zespół suchego oka. </w:t>
      </w:r>
    </w:p>
    <w:p w:rsidR="0042303B" w:rsidRPr="0042303B" w:rsidRDefault="0042303B" w:rsidP="0042303B">
      <w:pPr>
        <w:spacing w:after="0" w:line="240" w:lineRule="auto"/>
        <w:rPr>
          <w:rFonts w:eastAsia="Times New Roman" w:cs="Arial"/>
          <w:lang w:eastAsia="pl-PL"/>
        </w:rPr>
      </w:pPr>
      <w:r w:rsidRPr="0042303B">
        <w:rPr>
          <w:rFonts w:eastAsia="Times New Roman" w:cs="Arial"/>
          <w:lang w:eastAsia="pl-PL"/>
        </w:rPr>
        <w:t>W rozprawie wykazano, że obecność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 xml:space="preserve">roztoczy </w:t>
      </w:r>
      <w:proofErr w:type="spellStart"/>
      <w:r w:rsidRPr="0042303B">
        <w:rPr>
          <w:rFonts w:eastAsia="Times New Roman" w:cs="Times New Roman"/>
          <w:lang w:eastAsia="pl-PL"/>
        </w:rPr>
        <w:t>Deomodex</w:t>
      </w:r>
      <w:proofErr w:type="spellEnd"/>
      <w:r w:rsidRPr="0042303B">
        <w:rPr>
          <w:rFonts w:eastAsia="Times New Roman" w:cs="Times New Roman"/>
          <w:lang w:eastAsia="pl-PL"/>
        </w:rPr>
        <w:t xml:space="preserve"> </w:t>
      </w:r>
      <w:proofErr w:type="spellStart"/>
      <w:r w:rsidRPr="0042303B">
        <w:rPr>
          <w:rFonts w:eastAsia="Times New Roman" w:cs="Times New Roman"/>
          <w:lang w:eastAsia="pl-PL"/>
        </w:rPr>
        <w:t>foliculorum</w:t>
      </w:r>
      <w:r w:rsidRPr="0042303B">
        <w:rPr>
          <w:rFonts w:eastAsia="Times New Roman" w:cs="Arial"/>
          <w:lang w:eastAsia="pl-PL"/>
        </w:rPr>
        <w:t>oraz</w:t>
      </w:r>
      <w:proofErr w:type="spellEnd"/>
      <w:r w:rsidRPr="0042303B">
        <w:rPr>
          <w:rFonts w:eastAsia="Times New Roman" w:cs="Arial"/>
          <w:lang w:eastAsia="pl-PL"/>
        </w:rPr>
        <w:t xml:space="preserve"> </w:t>
      </w:r>
      <w:proofErr w:type="spellStart"/>
      <w:r w:rsidRPr="0042303B">
        <w:rPr>
          <w:rFonts w:eastAsia="Times New Roman" w:cs="Times New Roman"/>
          <w:lang w:eastAsia="pl-PL"/>
        </w:rPr>
        <w:t>Demodex</w:t>
      </w:r>
      <w:proofErr w:type="spellEnd"/>
      <w:r w:rsidRPr="0042303B">
        <w:rPr>
          <w:rFonts w:eastAsia="Times New Roman" w:cs="Times New Roman"/>
          <w:lang w:eastAsia="pl-PL"/>
        </w:rPr>
        <w:t xml:space="preserve"> </w:t>
      </w:r>
      <w:proofErr w:type="spellStart"/>
      <w:r w:rsidRPr="0042303B">
        <w:rPr>
          <w:rFonts w:eastAsia="Times New Roman" w:cs="Times New Roman"/>
          <w:lang w:eastAsia="pl-PL"/>
        </w:rPr>
        <w:t>brevis</w:t>
      </w:r>
      <w:proofErr w:type="spellEnd"/>
      <w:r w:rsidR="00287C39">
        <w:rPr>
          <w:rFonts w:eastAsia="Times New Roman" w:cs="Times New Roman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wiąże się</w:t>
      </w:r>
    </w:p>
    <w:p w:rsidR="0042303B" w:rsidRPr="0042303B" w:rsidRDefault="0042303B" w:rsidP="0042303B">
      <w:pPr>
        <w:spacing w:after="0" w:line="240" w:lineRule="auto"/>
        <w:rPr>
          <w:rFonts w:eastAsia="Times New Roman" w:cs="Arial"/>
          <w:lang w:eastAsia="pl-PL"/>
        </w:rPr>
      </w:pPr>
      <w:r w:rsidRPr="0042303B">
        <w:rPr>
          <w:rFonts w:eastAsia="Times New Roman" w:cs="Arial"/>
          <w:lang w:eastAsia="pl-PL"/>
        </w:rPr>
        <w:t>z powstawaniem objawów okulistycznych takich jak teleangiektazje brzegów powiek, przekrwienie brzegów powiek, obecność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łupieżu cylindrycznego u nasady rzęs, zaczopowanie ujść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 xml:space="preserve">gruczołów </w:t>
      </w:r>
      <w:proofErr w:type="spellStart"/>
      <w:r w:rsidRPr="0042303B">
        <w:rPr>
          <w:rFonts w:eastAsia="Times New Roman" w:cs="Arial"/>
          <w:lang w:eastAsia="pl-PL"/>
        </w:rPr>
        <w:t>Meiboma</w:t>
      </w:r>
      <w:proofErr w:type="spellEnd"/>
      <w:r w:rsidRPr="0042303B">
        <w:rPr>
          <w:rFonts w:eastAsia="Times New Roman" w:cs="Arial"/>
          <w:lang w:eastAsia="pl-PL"/>
        </w:rPr>
        <w:t>, zadrażnienie spojówki, obniżenie menisku łzowego &lt;1 mm, większą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liczbą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 xml:space="preserve">fałdów spojówki w skali LIPCOF oraz wyższym stopniem uszkodzenia powierzchni oka w skali Oxfordzkiej. Wykazano, </w:t>
      </w:r>
    </w:p>
    <w:p w:rsidR="0042303B" w:rsidRPr="0042303B" w:rsidRDefault="0042303B" w:rsidP="0042303B">
      <w:pPr>
        <w:spacing w:after="0" w:line="240" w:lineRule="auto"/>
        <w:rPr>
          <w:rFonts w:eastAsia="Times New Roman" w:cs="Arial"/>
          <w:lang w:eastAsia="pl-PL"/>
        </w:rPr>
      </w:pPr>
      <w:r w:rsidRPr="0042303B">
        <w:rPr>
          <w:rFonts w:eastAsia="Times New Roman" w:cs="Arial"/>
          <w:lang w:eastAsia="pl-PL"/>
        </w:rPr>
        <w:lastRenderedPageBreak/>
        <w:t xml:space="preserve">że liczba roztoczy w mieszkach włosowych rzęs i brwi oraz na skórze powiek ma wpływ na ich patogenność– liczba osobników była znamiennie wyższa u pacjentów z chorobami aparatu ochronnego oka lub powierzchni gałki ocznej. </w:t>
      </w:r>
    </w:p>
    <w:p w:rsidR="0042303B" w:rsidRPr="0042303B" w:rsidRDefault="0042303B" w:rsidP="0042303B">
      <w:pPr>
        <w:spacing w:after="0" w:line="240" w:lineRule="auto"/>
        <w:rPr>
          <w:rFonts w:eastAsia="Times New Roman" w:cs="Arial"/>
          <w:lang w:eastAsia="pl-PL"/>
        </w:rPr>
      </w:pPr>
      <w:r w:rsidRPr="0042303B">
        <w:rPr>
          <w:rFonts w:eastAsia="Times New Roman" w:cs="Arial"/>
          <w:lang w:eastAsia="pl-PL"/>
        </w:rPr>
        <w:t>W rozprawie oceniono zależność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 xml:space="preserve">pomiędzy zarażeniem nużeńcem a poziomem stężenia </w:t>
      </w:r>
    </w:p>
    <w:p w:rsidR="0042303B" w:rsidRPr="0042303B" w:rsidRDefault="0042303B" w:rsidP="0042303B">
      <w:pPr>
        <w:spacing w:after="0" w:line="240" w:lineRule="auto"/>
        <w:rPr>
          <w:rFonts w:eastAsia="Times New Roman" w:cs="Arial"/>
          <w:lang w:eastAsia="pl-PL"/>
        </w:rPr>
      </w:pPr>
      <w:r w:rsidRPr="0042303B">
        <w:rPr>
          <w:rFonts w:eastAsia="Times New Roman" w:cs="Arial"/>
          <w:lang w:eastAsia="pl-PL"/>
        </w:rPr>
        <w:t>cytokin zapalnych we łzach pacjentów. Do tej pory w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Polsce nie ukazały się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prace oceniające związek pomiędzy zarażeniem pasożytem a stężeniem IL-12 oraz IL-17A we łzach. Pomiędzy pacjentami objawowymi a osobami bez objawów nie wykazano istotnych różnic w zakresie stężeń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interleukiny 12 oraz 17A we łzach. Wykazano natomiast istotną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różnicę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w zakresie stężenia IL-17A we łzach pomiędzy pacjentami u których występował nużeniec a osobami bez obecności pasożyta. Potwierdzono zatem dane z piśmiennictwa na temat roli interleukiny 17A jako lokalnego czynnika zaangażowanego w proces powstawania dolegliwości oraz zmian w odcinku przednim oka związanych z obecno</w:t>
      </w:r>
      <w:r w:rsidR="00287C39">
        <w:rPr>
          <w:rFonts w:eastAsia="Times New Roman" w:cs="Arial"/>
          <w:lang w:eastAsia="pl-PL"/>
        </w:rPr>
        <w:t>ś</w:t>
      </w:r>
      <w:r w:rsidRPr="0042303B">
        <w:rPr>
          <w:rFonts w:eastAsia="Times New Roman" w:cs="Arial"/>
          <w:lang w:eastAsia="pl-PL"/>
        </w:rPr>
        <w:t>cią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nużeńca. W wyniku inkubacji wymazów z worka spojówkowego pobranych od 33 pacjentów z grupy badanej oraz 30 pacjentów z grupy kontrolnej</w:t>
      </w:r>
      <w:r w:rsidR="00287C39">
        <w:rPr>
          <w:rFonts w:eastAsia="Times New Roman" w:cs="Arial"/>
          <w:lang w:eastAsia="pl-PL"/>
        </w:rPr>
        <w:t xml:space="preserve"> wyhodowano bakterie takie jak: </w:t>
      </w:r>
      <w:proofErr w:type="spellStart"/>
      <w:r w:rsidRPr="0042303B">
        <w:rPr>
          <w:rFonts w:eastAsia="Times New Roman" w:cs="Times New Roman"/>
          <w:lang w:eastAsia="pl-PL"/>
        </w:rPr>
        <w:t>Staphylococcus</w:t>
      </w:r>
      <w:proofErr w:type="spellEnd"/>
      <w:r w:rsidRPr="0042303B">
        <w:rPr>
          <w:rFonts w:eastAsia="Times New Roman" w:cs="Times New Roman"/>
          <w:lang w:eastAsia="pl-PL"/>
        </w:rPr>
        <w:t xml:space="preserve"> </w:t>
      </w:r>
      <w:proofErr w:type="spellStart"/>
      <w:r w:rsidRPr="0042303B">
        <w:rPr>
          <w:rFonts w:eastAsia="Times New Roman" w:cs="Times New Roman"/>
          <w:lang w:eastAsia="pl-PL"/>
        </w:rPr>
        <w:t>aureus</w:t>
      </w:r>
      <w:proofErr w:type="spellEnd"/>
      <w:r w:rsidRPr="0042303B">
        <w:rPr>
          <w:rFonts w:eastAsia="Times New Roman" w:cs="Times New Roman"/>
          <w:lang w:eastAsia="pl-PL"/>
        </w:rPr>
        <w:t xml:space="preserve">, </w:t>
      </w:r>
      <w:proofErr w:type="spellStart"/>
      <w:r w:rsidRPr="0042303B">
        <w:rPr>
          <w:rFonts w:eastAsia="Times New Roman" w:cs="Times New Roman"/>
          <w:lang w:eastAsia="pl-PL"/>
        </w:rPr>
        <w:t>Staphylococcus</w:t>
      </w:r>
      <w:proofErr w:type="spellEnd"/>
      <w:r w:rsidRPr="0042303B">
        <w:rPr>
          <w:rFonts w:eastAsia="Times New Roman" w:cs="Times New Roman"/>
          <w:lang w:eastAsia="pl-PL"/>
        </w:rPr>
        <w:t xml:space="preserve"> </w:t>
      </w:r>
      <w:proofErr w:type="spellStart"/>
      <w:r w:rsidRPr="0042303B">
        <w:rPr>
          <w:rFonts w:eastAsia="Times New Roman" w:cs="Times New Roman"/>
          <w:lang w:eastAsia="pl-PL"/>
        </w:rPr>
        <w:t>spp</w:t>
      </w:r>
      <w:proofErr w:type="spellEnd"/>
      <w:r w:rsidRPr="0042303B">
        <w:rPr>
          <w:rFonts w:eastAsia="Times New Roman" w:cs="Times New Roman"/>
          <w:lang w:eastAsia="pl-PL"/>
        </w:rPr>
        <w:t xml:space="preserve">., </w:t>
      </w:r>
      <w:proofErr w:type="spellStart"/>
      <w:r w:rsidRPr="0042303B">
        <w:rPr>
          <w:rFonts w:eastAsia="Times New Roman" w:cs="Times New Roman"/>
          <w:lang w:eastAsia="pl-PL"/>
        </w:rPr>
        <w:t>Staphylococcus</w:t>
      </w:r>
      <w:proofErr w:type="spellEnd"/>
      <w:r w:rsidRPr="0042303B">
        <w:rPr>
          <w:rFonts w:eastAsia="Times New Roman" w:cs="Times New Roman"/>
          <w:lang w:eastAsia="pl-PL"/>
        </w:rPr>
        <w:t xml:space="preserve"> </w:t>
      </w:r>
      <w:proofErr w:type="spellStart"/>
      <w:r w:rsidRPr="0042303B">
        <w:rPr>
          <w:rFonts w:eastAsia="Times New Roman" w:cs="Times New Roman"/>
          <w:lang w:eastAsia="pl-PL"/>
        </w:rPr>
        <w:t>viridians</w:t>
      </w:r>
      <w:proofErr w:type="spellEnd"/>
      <w:r w:rsidRPr="0042303B">
        <w:rPr>
          <w:rFonts w:eastAsia="Times New Roman" w:cs="Times New Roman"/>
          <w:lang w:eastAsia="pl-PL"/>
        </w:rPr>
        <w:t xml:space="preserve">, </w:t>
      </w:r>
      <w:proofErr w:type="spellStart"/>
      <w:r w:rsidRPr="0042303B">
        <w:rPr>
          <w:rFonts w:eastAsia="Times New Roman" w:cs="Times New Roman"/>
          <w:lang w:eastAsia="pl-PL"/>
        </w:rPr>
        <w:t>Kocuria</w:t>
      </w:r>
      <w:proofErr w:type="spellEnd"/>
      <w:r w:rsidRPr="0042303B">
        <w:rPr>
          <w:rFonts w:eastAsia="Times New Roman" w:cs="Times New Roman"/>
          <w:lang w:eastAsia="pl-PL"/>
        </w:rPr>
        <w:t xml:space="preserve"> </w:t>
      </w:r>
      <w:proofErr w:type="spellStart"/>
      <w:r w:rsidRPr="0042303B">
        <w:rPr>
          <w:rFonts w:eastAsia="Times New Roman" w:cs="Times New Roman"/>
          <w:lang w:eastAsia="pl-PL"/>
        </w:rPr>
        <w:t>varians</w:t>
      </w:r>
      <w:proofErr w:type="spellEnd"/>
      <w:r w:rsidRPr="0042303B">
        <w:rPr>
          <w:rFonts w:eastAsia="Times New Roman" w:cs="Times New Roman"/>
          <w:lang w:eastAsia="pl-PL"/>
        </w:rPr>
        <w:t xml:space="preserve">, </w:t>
      </w:r>
      <w:proofErr w:type="spellStart"/>
      <w:r w:rsidRPr="0042303B">
        <w:rPr>
          <w:rFonts w:eastAsia="Times New Roman" w:cs="Times New Roman"/>
          <w:lang w:eastAsia="pl-PL"/>
        </w:rPr>
        <w:t>Enterococus</w:t>
      </w:r>
      <w:proofErr w:type="spellEnd"/>
      <w:r w:rsidRPr="0042303B">
        <w:rPr>
          <w:rFonts w:eastAsia="Times New Roman" w:cs="Times New Roman"/>
          <w:lang w:eastAsia="pl-PL"/>
        </w:rPr>
        <w:t xml:space="preserve"> </w:t>
      </w:r>
      <w:proofErr w:type="spellStart"/>
      <w:r w:rsidRPr="0042303B">
        <w:rPr>
          <w:rFonts w:eastAsia="Times New Roman" w:cs="Times New Roman"/>
          <w:lang w:eastAsia="pl-PL"/>
        </w:rPr>
        <w:t>faecalis</w:t>
      </w:r>
      <w:proofErr w:type="spellEnd"/>
      <w:r w:rsidRPr="0042303B">
        <w:rPr>
          <w:rFonts w:eastAsia="Times New Roman" w:cs="Times New Roman"/>
          <w:lang w:eastAsia="pl-PL"/>
        </w:rPr>
        <w:t xml:space="preserve">, </w:t>
      </w:r>
      <w:proofErr w:type="spellStart"/>
      <w:r w:rsidRPr="0042303B">
        <w:rPr>
          <w:rFonts w:eastAsia="Times New Roman" w:cs="Times New Roman"/>
          <w:lang w:eastAsia="pl-PL"/>
        </w:rPr>
        <w:t>Micrococcus</w:t>
      </w:r>
      <w:proofErr w:type="spellEnd"/>
      <w:r w:rsidRPr="0042303B">
        <w:rPr>
          <w:rFonts w:eastAsia="Times New Roman" w:cs="Times New Roman"/>
          <w:lang w:eastAsia="pl-PL"/>
        </w:rPr>
        <w:t xml:space="preserve"> </w:t>
      </w:r>
      <w:proofErr w:type="spellStart"/>
      <w:r w:rsidRPr="0042303B">
        <w:rPr>
          <w:rFonts w:eastAsia="Times New Roman" w:cs="Times New Roman"/>
          <w:lang w:eastAsia="pl-PL"/>
        </w:rPr>
        <w:t>spp</w:t>
      </w:r>
      <w:proofErr w:type="spellEnd"/>
      <w:r w:rsidRPr="0042303B">
        <w:rPr>
          <w:rFonts w:eastAsia="Times New Roman" w:cs="Times New Roman"/>
          <w:lang w:eastAsia="pl-PL"/>
        </w:rPr>
        <w:t xml:space="preserve">, </w:t>
      </w:r>
      <w:proofErr w:type="spellStart"/>
      <w:r w:rsidRPr="0042303B">
        <w:rPr>
          <w:rFonts w:eastAsia="Times New Roman" w:cs="Times New Roman"/>
          <w:lang w:eastAsia="pl-PL"/>
        </w:rPr>
        <w:t>Corynephorm.</w:t>
      </w:r>
      <w:r w:rsidRPr="0042303B">
        <w:rPr>
          <w:rFonts w:eastAsia="Times New Roman" w:cs="Arial"/>
          <w:lang w:eastAsia="pl-PL"/>
        </w:rPr>
        <w:t>Wśród</w:t>
      </w:r>
      <w:proofErr w:type="spellEnd"/>
      <w:r w:rsidRPr="0042303B">
        <w:rPr>
          <w:rFonts w:eastAsia="Times New Roman" w:cs="Arial"/>
          <w:lang w:eastAsia="pl-PL"/>
        </w:rPr>
        <w:t xml:space="preserve"> opisywanych w literaturze bakterii mogących mieć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 xml:space="preserve">związek z pasożytem, jedynie bakterie </w:t>
      </w:r>
      <w:proofErr w:type="spellStart"/>
      <w:r w:rsidRPr="0042303B">
        <w:rPr>
          <w:rFonts w:eastAsia="Times New Roman" w:cs="Times New Roman"/>
          <w:lang w:eastAsia="pl-PL"/>
        </w:rPr>
        <w:t>Staphylococcus</w:t>
      </w:r>
      <w:proofErr w:type="spellEnd"/>
      <w:r w:rsidRPr="0042303B">
        <w:rPr>
          <w:rFonts w:eastAsia="Times New Roman" w:cs="Times New Roman"/>
          <w:lang w:eastAsia="pl-PL"/>
        </w:rPr>
        <w:t xml:space="preserve"> </w:t>
      </w:r>
      <w:proofErr w:type="spellStart"/>
      <w:r w:rsidRPr="0042303B">
        <w:rPr>
          <w:rFonts w:eastAsia="Times New Roman" w:cs="Times New Roman"/>
          <w:lang w:eastAsia="pl-PL"/>
        </w:rPr>
        <w:t>aureus</w:t>
      </w:r>
      <w:proofErr w:type="spellEnd"/>
      <w:r w:rsidR="00287C39">
        <w:rPr>
          <w:rFonts w:eastAsia="Times New Roman" w:cs="Times New Roman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zostały wyhodowane w wymazach pobranych od badanych osób. Nie zaobserwowano jednak istotnie statystycznie częstszej ich obecności u pacjentów zarażonych nużeńcem. Z przeprowadzonych badań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wynika, że nużeniec nie ma wpływu na florę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bakteryjną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worka spojówkowego. W podsumowaniu należy stwierdzić, że pomimo iż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zarażenie nużeńcem nie należy do zagrażających życiu, jego powszechność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oraz wywołane przez niego objawy i zmiany, a dodatkowo trudność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w leczeniu oraz skłonność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do nawrotów, mogą</w:t>
      </w:r>
    </w:p>
    <w:p w:rsidR="0042303B" w:rsidRPr="0042303B" w:rsidRDefault="0042303B" w:rsidP="0042303B">
      <w:pPr>
        <w:spacing w:after="0" w:line="240" w:lineRule="auto"/>
        <w:rPr>
          <w:rFonts w:eastAsia="Times New Roman" w:cs="Arial"/>
          <w:lang w:eastAsia="pl-PL"/>
        </w:rPr>
      </w:pPr>
      <w:r w:rsidRPr="0042303B">
        <w:rPr>
          <w:rFonts w:eastAsia="Times New Roman" w:cs="Arial"/>
          <w:lang w:eastAsia="pl-PL"/>
        </w:rPr>
        <w:t>wpływać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na jakość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życia pacjentów. W praktyce okulistycznej nie należy zapominać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o możliwości zarażenia pacjentów pasożytem i częściej diagnozować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oraz zwalcza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nużeńca, traktując go jako przyczynę</w:t>
      </w:r>
      <w:r w:rsidR="00287C39">
        <w:rPr>
          <w:rFonts w:eastAsia="Times New Roman" w:cs="Arial"/>
          <w:lang w:eastAsia="pl-PL"/>
        </w:rPr>
        <w:t xml:space="preserve"> </w:t>
      </w:r>
      <w:r w:rsidRPr="0042303B">
        <w:rPr>
          <w:rFonts w:eastAsia="Times New Roman" w:cs="Arial"/>
          <w:lang w:eastAsia="pl-PL"/>
        </w:rPr>
        <w:t>schorzeń</w:t>
      </w:r>
      <w:r w:rsidR="00287C39">
        <w:rPr>
          <w:rFonts w:eastAsia="Times New Roman" w:cs="Arial"/>
          <w:lang w:eastAsia="pl-PL"/>
        </w:rPr>
        <w:t xml:space="preserve"> </w:t>
      </w:r>
      <w:bookmarkStart w:id="0" w:name="_GoBack"/>
      <w:bookmarkEnd w:id="0"/>
      <w:r w:rsidRPr="0042303B">
        <w:rPr>
          <w:rFonts w:eastAsia="Times New Roman" w:cs="Arial"/>
          <w:lang w:eastAsia="pl-PL"/>
        </w:rPr>
        <w:t xml:space="preserve">powierzchni oka w szczególności w sytuacjach kiedy leczenie objawowe nie przynosi pożądanych efektów. </w:t>
      </w:r>
    </w:p>
    <w:p w:rsidR="00B54D09" w:rsidRDefault="00B54D09"/>
    <w:sectPr w:rsidR="00B5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B"/>
    <w:rsid w:val="00287C39"/>
    <w:rsid w:val="0042303B"/>
    <w:rsid w:val="00B5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2018-11-16T11:27:00Z</dcterms:created>
  <dcterms:modified xsi:type="dcterms:W3CDTF">2018-11-16T11:45:00Z</dcterms:modified>
</cp:coreProperties>
</file>