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93" w:rsidRPr="0066449F" w:rsidRDefault="009E6D93" w:rsidP="009E6D93">
      <w:pPr>
        <w:spacing w:after="0" w:line="360" w:lineRule="auto"/>
        <w:rPr>
          <w:rFonts w:ascii="Arial" w:hAnsi="Arial" w:cs="Arial"/>
          <w:b/>
        </w:rPr>
      </w:pPr>
      <w:r w:rsidRPr="0066449F">
        <w:rPr>
          <w:rFonts w:ascii="Arial" w:hAnsi="Arial" w:cs="Arial"/>
          <w:b/>
        </w:rPr>
        <w:t xml:space="preserve">Lek. Agnieszka </w:t>
      </w:r>
      <w:proofErr w:type="spellStart"/>
      <w:r w:rsidRPr="0066449F">
        <w:rPr>
          <w:rFonts w:ascii="Arial" w:hAnsi="Arial" w:cs="Arial"/>
          <w:b/>
        </w:rPr>
        <w:t>Gaczkowska</w:t>
      </w:r>
      <w:proofErr w:type="spellEnd"/>
    </w:p>
    <w:p w:rsidR="009E6D93" w:rsidRPr="0066449F" w:rsidRDefault="009E6D93" w:rsidP="009E6D93">
      <w:pPr>
        <w:spacing w:after="0" w:line="360" w:lineRule="auto"/>
        <w:rPr>
          <w:rFonts w:ascii="Arial" w:hAnsi="Arial" w:cs="Arial"/>
          <w:b/>
        </w:rPr>
      </w:pPr>
      <w:r w:rsidRPr="0066449F">
        <w:rPr>
          <w:rFonts w:ascii="Arial" w:hAnsi="Arial" w:cs="Arial"/>
          <w:b/>
        </w:rPr>
        <w:t>Promotor: dr hab. n. med. Adrianna Mostowska</w:t>
      </w:r>
    </w:p>
    <w:p w:rsidR="009E6D93" w:rsidRPr="0066449F" w:rsidRDefault="009E6D93" w:rsidP="009E6D93">
      <w:pPr>
        <w:spacing w:after="0" w:line="360" w:lineRule="auto"/>
        <w:rPr>
          <w:rFonts w:ascii="Arial" w:hAnsi="Arial" w:cs="Arial"/>
          <w:b/>
        </w:rPr>
      </w:pPr>
    </w:p>
    <w:p w:rsidR="009E6D93" w:rsidRPr="0066449F" w:rsidRDefault="009E6D93" w:rsidP="009E6D93">
      <w:pPr>
        <w:spacing w:after="0" w:line="360" w:lineRule="auto"/>
        <w:rPr>
          <w:rFonts w:ascii="Arial" w:hAnsi="Arial" w:cs="Arial"/>
          <w:b/>
        </w:rPr>
      </w:pPr>
      <w:r w:rsidRPr="0066449F">
        <w:rPr>
          <w:rFonts w:ascii="Arial" w:hAnsi="Arial" w:cs="Arial"/>
          <w:b/>
        </w:rPr>
        <w:t>Tytuł rozprawy doktorskiej:</w:t>
      </w:r>
    </w:p>
    <w:p w:rsidR="009E6D93" w:rsidRPr="0066449F" w:rsidRDefault="009E6D93" w:rsidP="009E6D93">
      <w:pPr>
        <w:spacing w:after="0" w:line="360" w:lineRule="auto"/>
        <w:rPr>
          <w:rFonts w:ascii="Arial" w:hAnsi="Arial" w:cs="Arial"/>
          <w:b/>
        </w:rPr>
      </w:pPr>
    </w:p>
    <w:p w:rsidR="009E6D93" w:rsidRPr="0066449F" w:rsidRDefault="009E6D93" w:rsidP="009E6D93">
      <w:pPr>
        <w:spacing w:after="0" w:line="360" w:lineRule="auto"/>
        <w:jc w:val="center"/>
        <w:rPr>
          <w:rFonts w:ascii="Arial" w:hAnsi="Arial" w:cs="Arial"/>
          <w:b/>
          <w:bCs/>
        </w:rPr>
      </w:pPr>
      <w:r w:rsidRPr="0066449F">
        <w:rPr>
          <w:rFonts w:ascii="Arial" w:hAnsi="Arial" w:cs="Arial"/>
          <w:b/>
        </w:rPr>
        <w:t>„</w:t>
      </w:r>
      <w:r w:rsidRPr="0066449F">
        <w:rPr>
          <w:rFonts w:ascii="Arial" w:hAnsi="Arial" w:cs="Arial"/>
          <w:b/>
          <w:bCs/>
        </w:rPr>
        <w:t>Rola czynników genetycznych w etiologii najczęstszych wad rozwojowych twarzoczaszki: izolowanych rozszczepów wargi i podniebienia oraz wrodzonego braku zawiązków zębów stałych”</w:t>
      </w:r>
    </w:p>
    <w:p w:rsidR="009E6D93" w:rsidRPr="0066449F" w:rsidRDefault="009E6D93" w:rsidP="009E6D93">
      <w:pPr>
        <w:spacing w:after="0" w:line="360" w:lineRule="auto"/>
        <w:jc w:val="center"/>
        <w:rPr>
          <w:rFonts w:ascii="Arial" w:hAnsi="Arial" w:cs="Arial"/>
          <w:bCs/>
        </w:rPr>
      </w:pPr>
    </w:p>
    <w:p w:rsidR="009E6D93" w:rsidRPr="00AF5FF5" w:rsidRDefault="009E6D93" w:rsidP="009E6D93">
      <w:pPr>
        <w:spacing w:after="0" w:line="360" w:lineRule="auto"/>
        <w:jc w:val="both"/>
        <w:rPr>
          <w:rFonts w:ascii="Arial" w:hAnsi="Arial" w:cs="Arial"/>
          <w:sz w:val="20"/>
        </w:rPr>
      </w:pPr>
      <w:r w:rsidRPr="00AF5FF5">
        <w:rPr>
          <w:rFonts w:ascii="Arial" w:hAnsi="Arial" w:cs="Arial"/>
          <w:sz w:val="20"/>
          <w:u w:val="single"/>
        </w:rPr>
        <w:t>Uwaga:</w:t>
      </w:r>
      <w:r w:rsidRPr="00AF5FF5">
        <w:rPr>
          <w:rFonts w:ascii="Arial" w:hAnsi="Arial" w:cs="Arial"/>
          <w:sz w:val="20"/>
        </w:rPr>
        <w:t xml:space="preserve"> rozszczepy wargi i podniebienia są heterogenną grupą nieprawidłowości rozwojowych. </w:t>
      </w:r>
      <w:r>
        <w:rPr>
          <w:rFonts w:ascii="Arial" w:hAnsi="Arial" w:cs="Arial"/>
          <w:sz w:val="20"/>
        </w:rPr>
        <w:br/>
      </w:r>
      <w:r w:rsidRPr="00AF5FF5">
        <w:rPr>
          <w:rFonts w:ascii="Arial" w:hAnsi="Arial" w:cs="Arial"/>
          <w:sz w:val="20"/>
        </w:rPr>
        <w:t xml:space="preserve">W zależności od miejsca, w którym nie wystąpiła fuzja lub też doszło do niecałkowitego połączenia się właściwych wyrostków, wyróżniamy rozszczep wargi i wyrostka zębodołowego połączony lub też nie </w:t>
      </w:r>
      <w:r>
        <w:rPr>
          <w:rFonts w:ascii="Arial" w:hAnsi="Arial" w:cs="Arial"/>
          <w:sz w:val="20"/>
        </w:rPr>
        <w:br/>
      </w:r>
      <w:r w:rsidRPr="00AF5FF5">
        <w:rPr>
          <w:rFonts w:ascii="Arial" w:hAnsi="Arial" w:cs="Arial"/>
          <w:sz w:val="20"/>
        </w:rPr>
        <w:t xml:space="preserve">z rozszczepem podniebienia (CL/P) oraz rozszczep samego podniebienia (CP). Etiologia obu tych typów rozszczepów jest różna. W ramach tej </w:t>
      </w:r>
      <w:r>
        <w:rPr>
          <w:rFonts w:ascii="Arial" w:hAnsi="Arial" w:cs="Arial"/>
          <w:sz w:val="20"/>
        </w:rPr>
        <w:t>rozprawy</w:t>
      </w:r>
      <w:r w:rsidRPr="00AF5FF5">
        <w:rPr>
          <w:rFonts w:ascii="Arial" w:hAnsi="Arial" w:cs="Arial"/>
          <w:sz w:val="20"/>
        </w:rPr>
        <w:t xml:space="preserve"> doktorskiej badano rolę czynników genetycznych w etiologii izolowanych CL/P. </w:t>
      </w:r>
    </w:p>
    <w:p w:rsidR="009E6D93" w:rsidRDefault="009E6D93" w:rsidP="009E6D93">
      <w:pPr>
        <w:spacing w:after="0" w:line="360" w:lineRule="auto"/>
        <w:jc w:val="both"/>
        <w:rPr>
          <w:rFonts w:ascii="Arial" w:hAnsi="Arial" w:cs="Arial"/>
        </w:rPr>
      </w:pPr>
      <w:r w:rsidRPr="00AF5FF5">
        <w:rPr>
          <w:rFonts w:ascii="Arial" w:hAnsi="Arial" w:cs="Arial"/>
        </w:rPr>
        <w:t xml:space="preserve"> </w:t>
      </w:r>
    </w:p>
    <w:p w:rsidR="009E6D93" w:rsidRPr="0066449F" w:rsidRDefault="009E6D93" w:rsidP="009E6D93">
      <w:pPr>
        <w:spacing w:after="0" w:line="360" w:lineRule="auto"/>
        <w:ind w:firstLine="567"/>
        <w:jc w:val="both"/>
        <w:rPr>
          <w:rFonts w:ascii="Arial" w:hAnsi="Arial" w:cs="Arial"/>
        </w:rPr>
      </w:pPr>
      <w:r w:rsidRPr="0066449F">
        <w:rPr>
          <w:rFonts w:ascii="Arial" w:hAnsi="Arial" w:cs="Arial"/>
        </w:rPr>
        <w:t>Izolowane rozszczepy wargi połączone lub nie z rozszczepem podniebienia (</w:t>
      </w:r>
      <w:proofErr w:type="spellStart"/>
      <w:r w:rsidRPr="0066449F">
        <w:rPr>
          <w:rFonts w:ascii="Arial" w:hAnsi="Arial" w:cs="Arial"/>
        </w:rPr>
        <w:t>nsCL</w:t>
      </w:r>
      <w:proofErr w:type="spellEnd"/>
      <w:r w:rsidRPr="0066449F">
        <w:rPr>
          <w:rFonts w:ascii="Arial" w:hAnsi="Arial" w:cs="Arial"/>
        </w:rPr>
        <w:t xml:space="preserve">/P) należą do najczęstszych wad wrodzonych </w:t>
      </w:r>
      <w:r>
        <w:rPr>
          <w:rFonts w:ascii="Arial" w:hAnsi="Arial" w:cs="Arial"/>
        </w:rPr>
        <w:t>twarzoczaszki</w:t>
      </w:r>
      <w:r w:rsidRPr="0066449F">
        <w:rPr>
          <w:rFonts w:ascii="Arial" w:hAnsi="Arial" w:cs="Arial"/>
        </w:rPr>
        <w:t xml:space="preserve"> [OMIM #119530]. Częstość występowania tych nieprawidłowości rozwojowych zależy od populacji, a także od warunków socjoekonomicznych</w:t>
      </w:r>
      <w:r w:rsidRPr="0066449F">
        <w:rPr>
          <w:rFonts w:ascii="Arial" w:hAnsi="Arial" w:cs="Arial"/>
          <w:vertAlign w:val="superscript"/>
        </w:rPr>
        <w:t xml:space="preserve"> </w:t>
      </w:r>
      <w:r w:rsidRPr="0066449F">
        <w:rPr>
          <w:rFonts w:ascii="Arial" w:hAnsi="Arial" w:cs="Arial"/>
        </w:rPr>
        <w:t>[1]. W Polsce według Polskiego Rejestru Wro</w:t>
      </w:r>
      <w:r>
        <w:rPr>
          <w:rFonts w:ascii="Arial" w:hAnsi="Arial" w:cs="Arial"/>
        </w:rPr>
        <w:t>dzonych Wad Rozwojowych częstość</w:t>
      </w:r>
      <w:r w:rsidRPr="0066449F">
        <w:rPr>
          <w:rFonts w:ascii="Arial" w:hAnsi="Arial" w:cs="Arial"/>
        </w:rPr>
        <w:t xml:space="preserve"> występowania wady </w:t>
      </w:r>
      <w:proofErr w:type="spellStart"/>
      <w:r w:rsidRPr="0066449F">
        <w:rPr>
          <w:rFonts w:ascii="Arial" w:hAnsi="Arial" w:cs="Arial"/>
        </w:rPr>
        <w:t>rozszczepowej</w:t>
      </w:r>
      <w:proofErr w:type="spellEnd"/>
      <w:r w:rsidRPr="0066449F">
        <w:rPr>
          <w:rFonts w:ascii="Arial" w:hAnsi="Arial" w:cs="Arial"/>
        </w:rPr>
        <w:t xml:space="preserve"> </w:t>
      </w:r>
      <w:r>
        <w:rPr>
          <w:rFonts w:ascii="Arial" w:hAnsi="Arial" w:cs="Arial"/>
        </w:rPr>
        <w:t xml:space="preserve"> w latach 1998-2008 </w:t>
      </w:r>
      <w:r w:rsidRPr="0066449F">
        <w:rPr>
          <w:rFonts w:ascii="Arial" w:hAnsi="Arial" w:cs="Arial"/>
        </w:rPr>
        <w:t>zawiera się w p</w:t>
      </w:r>
      <w:r>
        <w:rPr>
          <w:rFonts w:ascii="Arial" w:hAnsi="Arial" w:cs="Arial"/>
        </w:rPr>
        <w:t>rzedziale od 7,6/10000</w:t>
      </w:r>
      <w:r w:rsidRPr="0066449F">
        <w:rPr>
          <w:rFonts w:ascii="Arial" w:hAnsi="Arial" w:cs="Arial"/>
        </w:rPr>
        <w:t xml:space="preserve"> do 1</w:t>
      </w:r>
      <w:r>
        <w:rPr>
          <w:rFonts w:ascii="Arial" w:hAnsi="Arial" w:cs="Arial"/>
        </w:rPr>
        <w:t>1,4</w:t>
      </w:r>
      <w:r w:rsidRPr="0066449F">
        <w:rPr>
          <w:rFonts w:ascii="Arial" w:hAnsi="Arial" w:cs="Arial"/>
        </w:rPr>
        <w:t>/1000</w:t>
      </w:r>
      <w:r>
        <w:rPr>
          <w:rFonts w:ascii="Arial" w:hAnsi="Arial" w:cs="Arial"/>
        </w:rPr>
        <w:t>0</w:t>
      </w:r>
      <w:r w:rsidRPr="0066449F">
        <w:rPr>
          <w:rFonts w:ascii="Arial" w:hAnsi="Arial" w:cs="Arial"/>
        </w:rPr>
        <w:t xml:space="preserve"> urodzeń</w:t>
      </w:r>
      <w:r>
        <w:rPr>
          <w:rFonts w:ascii="Arial" w:hAnsi="Arial" w:cs="Arial"/>
        </w:rPr>
        <w:t xml:space="preserve"> [2]</w:t>
      </w:r>
      <w:r w:rsidRPr="0066449F">
        <w:rPr>
          <w:rFonts w:ascii="Arial" w:hAnsi="Arial" w:cs="Arial"/>
        </w:rPr>
        <w:t xml:space="preserve">. Leczenie pacjentów z </w:t>
      </w:r>
      <w:proofErr w:type="spellStart"/>
      <w:r w:rsidRPr="0066449F">
        <w:rPr>
          <w:rFonts w:ascii="Arial" w:hAnsi="Arial" w:cs="Arial"/>
        </w:rPr>
        <w:t>nsCL</w:t>
      </w:r>
      <w:proofErr w:type="spellEnd"/>
      <w:r w:rsidRPr="0066449F">
        <w:rPr>
          <w:rFonts w:ascii="Arial" w:hAnsi="Arial" w:cs="Arial"/>
        </w:rPr>
        <w:t xml:space="preserve">/P stanowi poważny problem w praktyce klinicznej, gdyż jest długotrwałe i przebiega wieloetapowo. Dzieci z wadą </w:t>
      </w:r>
      <w:proofErr w:type="spellStart"/>
      <w:r w:rsidRPr="0066449F">
        <w:rPr>
          <w:rFonts w:ascii="Arial" w:hAnsi="Arial" w:cs="Arial"/>
        </w:rPr>
        <w:t>rozszczepową</w:t>
      </w:r>
      <w:proofErr w:type="spellEnd"/>
      <w:r w:rsidRPr="0066449F">
        <w:rPr>
          <w:rFonts w:ascii="Arial" w:hAnsi="Arial" w:cs="Arial"/>
        </w:rPr>
        <w:t xml:space="preserve"> wymagają nie tylko leczenia chirurgicznego, ale także muszą być objęte wielospecjalistyczną opieką pediatryczną, stomatologiczną, ortodontyczną, logopedyczną czy też foniatryczną. Wykazano ponadto, że osoby dorosłe dotknięte tą nieprawidłowością rozwojową mają znacznie zwiększone ryzyko wystąpienia zaburzeń psychicznych oraz zwiększone ryzyko zacho</w:t>
      </w:r>
      <w:r>
        <w:rPr>
          <w:rFonts w:ascii="Arial" w:hAnsi="Arial" w:cs="Arial"/>
        </w:rPr>
        <w:t>rowania na różne nowotwory [3,4</w:t>
      </w:r>
      <w:r w:rsidRPr="0066449F">
        <w:rPr>
          <w:rFonts w:ascii="Arial" w:hAnsi="Arial" w:cs="Arial"/>
        </w:rPr>
        <w:t xml:space="preserve">]. </w:t>
      </w:r>
    </w:p>
    <w:p w:rsidR="009E6D93" w:rsidRPr="0066449F" w:rsidRDefault="009E6D93" w:rsidP="009E6D93">
      <w:pPr>
        <w:spacing w:after="0" w:line="360" w:lineRule="auto"/>
        <w:ind w:firstLine="567"/>
        <w:jc w:val="both"/>
        <w:rPr>
          <w:rFonts w:ascii="Arial" w:hAnsi="Arial" w:cs="Arial"/>
        </w:rPr>
      </w:pPr>
      <w:r w:rsidRPr="0066449F">
        <w:rPr>
          <w:rFonts w:ascii="Arial" w:hAnsi="Arial" w:cs="Arial"/>
        </w:rPr>
        <w:t xml:space="preserve">Etiologia </w:t>
      </w:r>
      <w:proofErr w:type="spellStart"/>
      <w:r w:rsidRPr="0066449F">
        <w:rPr>
          <w:rFonts w:ascii="Arial" w:hAnsi="Arial" w:cs="Arial"/>
        </w:rPr>
        <w:t>nsCL</w:t>
      </w:r>
      <w:proofErr w:type="spellEnd"/>
      <w:r w:rsidRPr="0066449F">
        <w:rPr>
          <w:rFonts w:ascii="Arial" w:hAnsi="Arial" w:cs="Arial"/>
        </w:rPr>
        <w:t>/P jest bardzo złożona, gdyż w powstawaniu tej wady biorą udział zarówno czynniki genetyczne jak i środowiskowe oraz ich z</w:t>
      </w:r>
      <w:r>
        <w:rPr>
          <w:rFonts w:ascii="Arial" w:hAnsi="Arial" w:cs="Arial"/>
        </w:rPr>
        <w:t>łożone wzajemne oddziaływania [5</w:t>
      </w:r>
      <w:r w:rsidRPr="0066449F">
        <w:rPr>
          <w:rFonts w:ascii="Arial" w:hAnsi="Arial" w:cs="Arial"/>
        </w:rPr>
        <w:t>]. Bardzo ważną rolę odgrywa także dieta matki, psychologiczny stres oraz zaburzony status ho</w:t>
      </w:r>
      <w:r>
        <w:rPr>
          <w:rFonts w:ascii="Arial" w:hAnsi="Arial" w:cs="Arial"/>
        </w:rPr>
        <w:t>rmonalny ciężarnej kobiety [6,7</w:t>
      </w:r>
      <w:r w:rsidRPr="0066449F">
        <w:rPr>
          <w:rFonts w:ascii="Arial" w:hAnsi="Arial" w:cs="Arial"/>
        </w:rPr>
        <w:t xml:space="preserve">]. Pomimo licznych badań, wiedza na temat roli czynników genetycznych w etiologii </w:t>
      </w:r>
      <w:proofErr w:type="spellStart"/>
      <w:r w:rsidRPr="0066449F">
        <w:rPr>
          <w:rFonts w:ascii="Arial" w:hAnsi="Arial" w:cs="Arial"/>
        </w:rPr>
        <w:t>nsCL</w:t>
      </w:r>
      <w:proofErr w:type="spellEnd"/>
      <w:r w:rsidRPr="0066449F">
        <w:rPr>
          <w:rFonts w:ascii="Arial" w:hAnsi="Arial" w:cs="Arial"/>
        </w:rPr>
        <w:t xml:space="preserve">/P wciąż nie jest kompletna. Znaczny postęp w identyfikacji częstych wariantów nukleotydowych, które zwiększają ryzyko </w:t>
      </w:r>
      <w:proofErr w:type="spellStart"/>
      <w:r w:rsidRPr="0066449F">
        <w:rPr>
          <w:rFonts w:ascii="Arial" w:hAnsi="Arial" w:cs="Arial"/>
        </w:rPr>
        <w:t>nsCL</w:t>
      </w:r>
      <w:proofErr w:type="spellEnd"/>
      <w:r w:rsidRPr="0066449F">
        <w:rPr>
          <w:rFonts w:ascii="Arial" w:hAnsi="Arial" w:cs="Arial"/>
        </w:rPr>
        <w:t xml:space="preserve">/P był możliwy dzięki zastosowaniu badań asocjacyjnych prowadzonych w skali całego genomu (ang. </w:t>
      </w:r>
      <w:proofErr w:type="spellStart"/>
      <w:r w:rsidRPr="0066449F">
        <w:rPr>
          <w:rFonts w:ascii="Arial" w:hAnsi="Arial" w:cs="Arial"/>
          <w:i/>
        </w:rPr>
        <w:t>Genome-Wide</w:t>
      </w:r>
      <w:proofErr w:type="spellEnd"/>
      <w:r w:rsidRPr="0066449F">
        <w:rPr>
          <w:rFonts w:ascii="Arial" w:hAnsi="Arial" w:cs="Arial"/>
          <w:i/>
        </w:rPr>
        <w:t xml:space="preserve"> </w:t>
      </w:r>
      <w:proofErr w:type="spellStart"/>
      <w:r w:rsidRPr="0066449F">
        <w:rPr>
          <w:rFonts w:ascii="Arial" w:hAnsi="Arial" w:cs="Arial"/>
          <w:i/>
        </w:rPr>
        <w:t>Association</w:t>
      </w:r>
      <w:proofErr w:type="spellEnd"/>
      <w:r w:rsidRPr="0066449F">
        <w:rPr>
          <w:rFonts w:ascii="Arial" w:hAnsi="Arial" w:cs="Arial"/>
          <w:i/>
        </w:rPr>
        <w:t xml:space="preserve"> </w:t>
      </w:r>
      <w:proofErr w:type="spellStart"/>
      <w:r w:rsidRPr="0066449F">
        <w:rPr>
          <w:rFonts w:ascii="Arial" w:hAnsi="Arial" w:cs="Arial"/>
          <w:i/>
        </w:rPr>
        <w:t>Studies</w:t>
      </w:r>
      <w:proofErr w:type="spellEnd"/>
      <w:r w:rsidRPr="0066449F">
        <w:rPr>
          <w:rFonts w:ascii="Arial" w:hAnsi="Arial" w:cs="Arial"/>
        </w:rPr>
        <w:t xml:space="preserve">, GWAS). </w:t>
      </w:r>
      <w:r w:rsidRPr="0066449F">
        <w:rPr>
          <w:rFonts w:ascii="Arial" w:hAnsi="Arial" w:cs="Arial"/>
          <w:iCs/>
        </w:rPr>
        <w:t xml:space="preserve">Dotychczas opublikowano wyniki siedmiu niezależnych analiz GWAS, które pozwoliły na identyfikację licznych chromosomowych </w:t>
      </w:r>
      <w:proofErr w:type="spellStart"/>
      <w:r w:rsidRPr="0066449F">
        <w:rPr>
          <w:rFonts w:ascii="Arial" w:hAnsi="Arial" w:cs="Arial"/>
          <w:iCs/>
        </w:rPr>
        <w:t>loci</w:t>
      </w:r>
      <w:proofErr w:type="spellEnd"/>
      <w:r w:rsidRPr="0066449F">
        <w:rPr>
          <w:rFonts w:ascii="Arial" w:hAnsi="Arial" w:cs="Arial"/>
          <w:iCs/>
        </w:rPr>
        <w:t xml:space="preserve">, </w:t>
      </w:r>
      <w:r w:rsidRPr="0066449F">
        <w:rPr>
          <w:rFonts w:ascii="Arial" w:hAnsi="Arial" w:cs="Arial"/>
          <w:iCs/>
        </w:rPr>
        <w:lastRenderedPageBreak/>
        <w:t xml:space="preserve">które wykazują związek z ryzykiem wady </w:t>
      </w:r>
      <w:proofErr w:type="spellStart"/>
      <w:r w:rsidRPr="0066449F">
        <w:rPr>
          <w:rFonts w:ascii="Arial" w:hAnsi="Arial" w:cs="Arial"/>
          <w:iCs/>
        </w:rPr>
        <w:t>rozszczepowej</w:t>
      </w:r>
      <w:proofErr w:type="spellEnd"/>
      <w:r w:rsidRPr="0066449F">
        <w:rPr>
          <w:rFonts w:ascii="Arial" w:hAnsi="Arial" w:cs="Arial"/>
          <w:iCs/>
        </w:rPr>
        <w:t xml:space="preserve">: </w:t>
      </w:r>
      <w:r w:rsidRPr="0066449F">
        <w:rPr>
          <w:rFonts w:ascii="Arial" w:hAnsi="Arial" w:cs="Arial"/>
        </w:rPr>
        <w:t>1p22.1 (</w:t>
      </w:r>
      <w:r w:rsidRPr="0066449F">
        <w:rPr>
          <w:rFonts w:ascii="Arial" w:hAnsi="Arial" w:cs="Arial"/>
          <w:i/>
        </w:rPr>
        <w:t>ARHGAP29</w:t>
      </w:r>
      <w:r w:rsidRPr="0066449F">
        <w:rPr>
          <w:rFonts w:ascii="Arial" w:hAnsi="Arial" w:cs="Arial"/>
        </w:rPr>
        <w:t>), 2p24.2 (</w:t>
      </w:r>
      <w:r w:rsidRPr="0066449F">
        <w:rPr>
          <w:rFonts w:ascii="Arial" w:hAnsi="Arial" w:cs="Arial"/>
          <w:i/>
        </w:rPr>
        <w:t>FAM49A</w:t>
      </w:r>
      <w:r w:rsidRPr="0066449F">
        <w:rPr>
          <w:rFonts w:ascii="Arial" w:hAnsi="Arial" w:cs="Arial"/>
        </w:rPr>
        <w:t>), 8q24.21 (pustynia genowa), 10q25.3 (</w:t>
      </w:r>
      <w:r w:rsidRPr="0066449F">
        <w:rPr>
          <w:rStyle w:val="Uwydatnienie"/>
          <w:rFonts w:ascii="Arial" w:hAnsi="Arial" w:cs="Arial"/>
        </w:rPr>
        <w:t>VAX1</w:t>
      </w:r>
      <w:r w:rsidRPr="0066449F">
        <w:rPr>
          <w:rFonts w:ascii="Arial" w:hAnsi="Arial" w:cs="Arial"/>
        </w:rPr>
        <w:t>), 12q12 (</w:t>
      </w:r>
      <w:r w:rsidRPr="0066449F">
        <w:rPr>
          <w:rFonts w:ascii="Arial" w:hAnsi="Arial" w:cs="Arial"/>
          <w:i/>
        </w:rPr>
        <w:t>ADAMTS20</w:t>
      </w:r>
      <w:r w:rsidRPr="0066449F">
        <w:rPr>
          <w:rFonts w:ascii="Arial" w:hAnsi="Arial" w:cs="Arial"/>
        </w:rPr>
        <w:t>), 16p13.3 (</w:t>
      </w:r>
      <w:r w:rsidRPr="0066449F">
        <w:rPr>
          <w:rStyle w:val="Uwydatnienie"/>
          <w:rFonts w:ascii="Arial" w:hAnsi="Arial" w:cs="Arial"/>
        </w:rPr>
        <w:t>ADCY9)</w:t>
      </w:r>
      <w:r w:rsidRPr="0066449F">
        <w:rPr>
          <w:rFonts w:ascii="Arial" w:hAnsi="Arial" w:cs="Arial"/>
        </w:rPr>
        <w:t>, 17q22 (</w:t>
      </w:r>
      <w:r w:rsidRPr="0066449F">
        <w:rPr>
          <w:rStyle w:val="Uwydatnienie"/>
          <w:rFonts w:ascii="Arial" w:hAnsi="Arial" w:cs="Arial"/>
        </w:rPr>
        <w:t>NOG</w:t>
      </w:r>
      <w:r w:rsidRPr="0066449F">
        <w:rPr>
          <w:rFonts w:ascii="Arial" w:hAnsi="Arial" w:cs="Arial"/>
        </w:rPr>
        <w:t>), 17q23 (</w:t>
      </w:r>
      <w:r w:rsidRPr="0066449F">
        <w:rPr>
          <w:rFonts w:ascii="Arial" w:hAnsi="Arial" w:cs="Arial"/>
          <w:i/>
        </w:rPr>
        <w:t>TANC2</w:t>
      </w:r>
      <w:r w:rsidRPr="0066449F">
        <w:rPr>
          <w:rFonts w:ascii="Arial" w:hAnsi="Arial" w:cs="Arial"/>
        </w:rPr>
        <w:t>), 19q13 (</w:t>
      </w:r>
      <w:r w:rsidRPr="0066449F">
        <w:rPr>
          <w:rFonts w:ascii="Arial" w:hAnsi="Arial" w:cs="Arial"/>
          <w:i/>
        </w:rPr>
        <w:t>RHPN2</w:t>
      </w:r>
      <w:r w:rsidRPr="0066449F">
        <w:rPr>
          <w:rFonts w:ascii="Arial" w:hAnsi="Arial" w:cs="Arial"/>
        </w:rPr>
        <w:t>) oraz 20q12 (</w:t>
      </w:r>
      <w:r w:rsidRPr="0066449F">
        <w:rPr>
          <w:rStyle w:val="Uwydatnienie"/>
          <w:rFonts w:ascii="Arial" w:hAnsi="Arial" w:cs="Arial"/>
        </w:rPr>
        <w:t>MAFB</w:t>
      </w:r>
      <w:r>
        <w:rPr>
          <w:rFonts w:ascii="Arial" w:hAnsi="Arial" w:cs="Arial"/>
        </w:rPr>
        <w:t>) [8-14</w:t>
      </w:r>
      <w:r w:rsidRPr="0066449F">
        <w:rPr>
          <w:rFonts w:ascii="Arial" w:hAnsi="Arial" w:cs="Arial"/>
        </w:rPr>
        <w:t>]</w:t>
      </w:r>
      <w:r w:rsidRPr="0066449F">
        <w:rPr>
          <w:rFonts w:ascii="Arial" w:hAnsi="Arial" w:cs="Arial"/>
          <w:iCs/>
        </w:rPr>
        <w:t xml:space="preserve">. </w:t>
      </w:r>
      <w:r w:rsidRPr="0066449F">
        <w:rPr>
          <w:rFonts w:ascii="Arial" w:hAnsi="Arial" w:cs="Arial"/>
        </w:rPr>
        <w:t xml:space="preserve">Analiza GWAS dla </w:t>
      </w:r>
      <w:proofErr w:type="spellStart"/>
      <w:r w:rsidRPr="0066449F">
        <w:rPr>
          <w:rFonts w:ascii="Arial" w:hAnsi="Arial" w:cs="Arial"/>
        </w:rPr>
        <w:t>nsCL</w:t>
      </w:r>
      <w:proofErr w:type="spellEnd"/>
      <w:r w:rsidRPr="0066449F">
        <w:rPr>
          <w:rFonts w:ascii="Arial" w:hAnsi="Arial" w:cs="Arial"/>
        </w:rPr>
        <w:t>/P,</w:t>
      </w:r>
      <w:r w:rsidRPr="0066449F">
        <w:rPr>
          <w:rFonts w:ascii="Arial" w:hAnsi="Arial" w:cs="Arial"/>
        </w:rPr>
        <w:br/>
        <w:t xml:space="preserve">z wykorzystaniem </w:t>
      </w:r>
      <w:proofErr w:type="spellStart"/>
      <w:r w:rsidRPr="0066449F">
        <w:rPr>
          <w:rFonts w:ascii="Arial" w:hAnsi="Arial" w:cs="Arial"/>
        </w:rPr>
        <w:t>mikromacierzy</w:t>
      </w:r>
      <w:proofErr w:type="spellEnd"/>
      <w:r w:rsidRPr="0066449F">
        <w:rPr>
          <w:rFonts w:ascii="Arial" w:hAnsi="Arial" w:cs="Arial"/>
        </w:rPr>
        <w:t xml:space="preserve"> umożliwiających jednoczesną analizę ponad 950 tysięcy wariantów nukleotydowych, została wykonana także w populacji polskiej. Analiza statystyczna otrzymanych wyników pozwoliła na identyfikację dwóch nowych genów: </w:t>
      </w:r>
      <w:r w:rsidRPr="0066449F">
        <w:rPr>
          <w:rFonts w:ascii="Arial" w:hAnsi="Arial" w:cs="Arial"/>
          <w:i/>
        </w:rPr>
        <w:t>DLG1</w:t>
      </w:r>
      <w:r w:rsidRPr="0066449F">
        <w:rPr>
          <w:rFonts w:ascii="Arial" w:hAnsi="Arial" w:cs="Arial"/>
        </w:rPr>
        <w:t xml:space="preserve"> oraz </w:t>
      </w:r>
      <w:r w:rsidRPr="0066449F">
        <w:rPr>
          <w:rFonts w:ascii="Arial" w:hAnsi="Arial" w:cs="Arial"/>
          <w:i/>
        </w:rPr>
        <w:t>CDKAL1</w:t>
      </w:r>
      <w:r w:rsidRPr="0066449F">
        <w:rPr>
          <w:rFonts w:ascii="Arial" w:hAnsi="Arial" w:cs="Arial"/>
        </w:rPr>
        <w:t xml:space="preserve">, których warianty nukleotydowe wykazują istotny związek z ryzykiem wady </w:t>
      </w:r>
      <w:proofErr w:type="spellStart"/>
      <w:r w:rsidRPr="0066449F">
        <w:rPr>
          <w:rFonts w:ascii="Arial" w:hAnsi="Arial" w:cs="Arial"/>
        </w:rPr>
        <w:t>rozszczepowej</w:t>
      </w:r>
      <w:proofErr w:type="spellEnd"/>
      <w:r w:rsidRPr="0066449F">
        <w:rPr>
          <w:rFonts w:ascii="Arial" w:hAnsi="Arial" w:cs="Arial"/>
        </w:rPr>
        <w:t xml:space="preserve">. Potwierdziła ona także status regionu chromosomowego 8q24.21 jako najważniejszego </w:t>
      </w:r>
      <w:proofErr w:type="spellStart"/>
      <w:r w:rsidRPr="0066449F">
        <w:rPr>
          <w:rFonts w:ascii="Arial" w:hAnsi="Arial" w:cs="Arial"/>
        </w:rPr>
        <w:t>locus</w:t>
      </w:r>
      <w:proofErr w:type="spellEnd"/>
      <w:r w:rsidRPr="0066449F">
        <w:rPr>
          <w:rFonts w:ascii="Arial" w:hAnsi="Arial" w:cs="Arial"/>
        </w:rPr>
        <w:t xml:space="preserve"> dla </w:t>
      </w:r>
      <w:proofErr w:type="spellStart"/>
      <w:r w:rsidRPr="0066449F">
        <w:rPr>
          <w:rFonts w:ascii="Arial" w:hAnsi="Arial" w:cs="Arial"/>
        </w:rPr>
        <w:t>nsCL</w:t>
      </w:r>
      <w:proofErr w:type="spellEnd"/>
      <w:r w:rsidRPr="0066449F">
        <w:rPr>
          <w:rFonts w:ascii="Arial" w:hAnsi="Arial" w:cs="Arial"/>
        </w:rPr>
        <w:t xml:space="preserve">/P w populacjach europejskich. </w:t>
      </w:r>
    </w:p>
    <w:p w:rsidR="009E6D93" w:rsidRPr="0066449F" w:rsidRDefault="009E6D93" w:rsidP="009E6D93">
      <w:pPr>
        <w:spacing w:after="0" w:line="360" w:lineRule="auto"/>
        <w:ind w:firstLine="567"/>
        <w:jc w:val="both"/>
        <w:rPr>
          <w:rFonts w:ascii="Arial" w:hAnsi="Arial" w:cs="Arial"/>
        </w:rPr>
      </w:pPr>
      <w:r w:rsidRPr="0066449F">
        <w:rPr>
          <w:rFonts w:ascii="Arial" w:hAnsi="Arial" w:cs="Arial"/>
        </w:rPr>
        <w:t>Wrodzony brak związków zębów stałych [OMIM #106600] jest jedną</w:t>
      </w:r>
      <w:r w:rsidRPr="0066449F">
        <w:rPr>
          <w:rFonts w:ascii="Arial" w:hAnsi="Arial" w:cs="Arial"/>
          <w:sz w:val="24"/>
        </w:rPr>
        <w:t xml:space="preserve"> </w:t>
      </w:r>
      <w:r w:rsidRPr="0066449F">
        <w:rPr>
          <w:rFonts w:ascii="Arial" w:hAnsi="Arial" w:cs="Arial"/>
        </w:rPr>
        <w:t xml:space="preserve">z najczęstszych nieprawidłowości rozwojowych uzębienia i jedną z najczęstszych wad rozwojowych części twarzowej czaszki. Częstość występowania tej wady zależy od populacji i wynosi od 1,6 </w:t>
      </w:r>
      <w:r>
        <w:rPr>
          <w:rFonts w:ascii="Arial" w:hAnsi="Arial" w:cs="Arial"/>
        </w:rPr>
        <w:t>d</w:t>
      </w:r>
      <w:r w:rsidRPr="0066449F">
        <w:rPr>
          <w:rFonts w:ascii="Arial" w:hAnsi="Arial" w:cs="Arial"/>
        </w:rPr>
        <w:t>o 9,6% - dane te nie obejmują trzecich zębów trzonowych, których brak stwierdza się u około 20-25% osób</w:t>
      </w:r>
      <w:r>
        <w:rPr>
          <w:rFonts w:ascii="Arial" w:hAnsi="Arial" w:cs="Arial"/>
        </w:rPr>
        <w:t xml:space="preserve"> [15</w:t>
      </w:r>
      <w:r w:rsidRPr="0066449F">
        <w:rPr>
          <w:rFonts w:ascii="Arial" w:hAnsi="Arial" w:cs="Arial"/>
        </w:rPr>
        <w:t xml:space="preserve">]. W zależności od liczby brakujących zawiązków zębowych wyróżnia się </w:t>
      </w:r>
      <w:proofErr w:type="spellStart"/>
      <w:r w:rsidRPr="0066449F">
        <w:rPr>
          <w:rFonts w:ascii="Arial" w:hAnsi="Arial" w:cs="Arial"/>
        </w:rPr>
        <w:t>hipodoncję</w:t>
      </w:r>
      <w:proofErr w:type="spellEnd"/>
      <w:r w:rsidRPr="0066449F">
        <w:rPr>
          <w:rFonts w:ascii="Arial" w:hAnsi="Arial" w:cs="Arial"/>
        </w:rPr>
        <w:t xml:space="preserve"> (brak od 1 do 5 zawiązków zębów, wyłączając trzecie zęby trzonowe), </w:t>
      </w:r>
      <w:proofErr w:type="spellStart"/>
      <w:r w:rsidRPr="0066449F">
        <w:rPr>
          <w:rFonts w:ascii="Arial" w:hAnsi="Arial" w:cs="Arial"/>
        </w:rPr>
        <w:t>oligodoncję</w:t>
      </w:r>
      <w:proofErr w:type="spellEnd"/>
      <w:r w:rsidRPr="0066449F">
        <w:rPr>
          <w:rFonts w:ascii="Arial" w:hAnsi="Arial" w:cs="Arial"/>
        </w:rPr>
        <w:t xml:space="preserve"> (brak 6 lub więcej zawiązków zębów, wyłączając trzecie zęby trzonowe) oraz </w:t>
      </w:r>
      <w:proofErr w:type="spellStart"/>
      <w:r w:rsidRPr="0066449F">
        <w:rPr>
          <w:rFonts w:ascii="Arial" w:hAnsi="Arial" w:cs="Arial"/>
        </w:rPr>
        <w:t>anodoncję</w:t>
      </w:r>
      <w:proofErr w:type="spellEnd"/>
      <w:r w:rsidRPr="0066449F">
        <w:rPr>
          <w:rFonts w:ascii="Arial" w:hAnsi="Arial" w:cs="Arial"/>
        </w:rPr>
        <w:t xml:space="preserve">, czyli brak wszystkich zawiązków zębów. Wrodzone braki zawiązków zębów stałych mogą występować zarówno jako wada samodzielna (wada izolowana) jak i mogą stanowić jeden </w:t>
      </w:r>
      <w:r>
        <w:rPr>
          <w:rFonts w:ascii="Arial" w:hAnsi="Arial" w:cs="Arial"/>
        </w:rPr>
        <w:br/>
      </w:r>
      <w:r w:rsidRPr="0066449F">
        <w:rPr>
          <w:rFonts w:ascii="Arial" w:hAnsi="Arial" w:cs="Arial"/>
        </w:rPr>
        <w:t>z objawów złożonych wad rozwojowych</w:t>
      </w:r>
      <w:r>
        <w:rPr>
          <w:rFonts w:ascii="Arial" w:hAnsi="Arial" w:cs="Arial"/>
        </w:rPr>
        <w:t xml:space="preserve"> [16</w:t>
      </w:r>
      <w:r w:rsidRPr="0066449F">
        <w:rPr>
          <w:rFonts w:ascii="Arial" w:hAnsi="Arial" w:cs="Arial"/>
        </w:rPr>
        <w:t>].</w:t>
      </w:r>
      <w:r>
        <w:rPr>
          <w:rFonts w:ascii="Arial" w:hAnsi="Arial" w:cs="Arial"/>
        </w:rPr>
        <w:t xml:space="preserve"> </w:t>
      </w:r>
      <w:r w:rsidRPr="0066449F">
        <w:rPr>
          <w:rFonts w:ascii="Arial" w:hAnsi="Arial" w:cs="Arial"/>
        </w:rPr>
        <w:t>Postać rodzinna agenezji zębowej jest dziedziczona przede wszystkim w sposób autosomalny dominujący, ale obserwowane są również przypadki dziedziczenia recesywnego lub też związanego z chromosomem X [</w:t>
      </w:r>
      <w:r>
        <w:rPr>
          <w:rFonts w:ascii="Arial" w:hAnsi="Arial" w:cs="Arial"/>
        </w:rPr>
        <w:t>15, 16</w:t>
      </w:r>
      <w:r w:rsidRPr="0066449F">
        <w:rPr>
          <w:rFonts w:ascii="Arial" w:hAnsi="Arial" w:cs="Arial"/>
        </w:rPr>
        <w:t>].</w:t>
      </w:r>
    </w:p>
    <w:p w:rsidR="009E6D93" w:rsidRPr="0066449F" w:rsidRDefault="009E6D93" w:rsidP="009E6D93">
      <w:pPr>
        <w:spacing w:after="0" w:line="360" w:lineRule="auto"/>
        <w:ind w:firstLine="709"/>
        <w:jc w:val="both"/>
        <w:rPr>
          <w:rFonts w:ascii="Arial" w:hAnsi="Arial" w:cs="Arial"/>
        </w:rPr>
      </w:pPr>
      <w:r w:rsidRPr="0066449F">
        <w:rPr>
          <w:rFonts w:ascii="Arial" w:hAnsi="Arial" w:cs="Arial"/>
        </w:rPr>
        <w:t>Etiologia wrodzonego braku zawiązków zębów stałych jest bardzo złożona, a za jedną z głównych przyczyn tej wady, obok zaburzeń rozwojowych ektodermy, czy też negatywnego wpływu czynników środowiskowych, uważa się czynniki genetyczne [</w:t>
      </w:r>
      <w:r>
        <w:rPr>
          <w:rFonts w:ascii="Arial" w:hAnsi="Arial" w:cs="Arial"/>
        </w:rPr>
        <w:t>17</w:t>
      </w:r>
      <w:r w:rsidRPr="0066449F">
        <w:rPr>
          <w:rFonts w:ascii="Arial" w:hAnsi="Arial" w:cs="Arial"/>
        </w:rPr>
        <w:t xml:space="preserve">]. Do najważniejszych genów kandydackich, których mutacje powodują zatrzymanie rozwoju zawiązków zębów stałych należą </w:t>
      </w:r>
      <w:r w:rsidRPr="0066449F">
        <w:rPr>
          <w:rFonts w:ascii="Arial" w:hAnsi="Arial" w:cs="Arial"/>
          <w:i/>
        </w:rPr>
        <w:t>WNT10A</w:t>
      </w:r>
      <w:r w:rsidRPr="0066449F">
        <w:rPr>
          <w:rFonts w:ascii="Arial" w:hAnsi="Arial" w:cs="Arial"/>
        </w:rPr>
        <w:t xml:space="preserve">, </w:t>
      </w:r>
      <w:r w:rsidRPr="0066449F">
        <w:rPr>
          <w:rFonts w:ascii="Arial" w:hAnsi="Arial" w:cs="Arial"/>
          <w:i/>
        </w:rPr>
        <w:t xml:space="preserve">PAX9, MSX1, AXIN2 </w:t>
      </w:r>
      <w:r w:rsidRPr="0066449F">
        <w:rPr>
          <w:rFonts w:ascii="Arial" w:hAnsi="Arial" w:cs="Arial"/>
        </w:rPr>
        <w:t xml:space="preserve">oraz </w:t>
      </w:r>
      <w:r w:rsidRPr="0066449F">
        <w:rPr>
          <w:rFonts w:ascii="Arial" w:hAnsi="Arial" w:cs="Arial"/>
          <w:i/>
        </w:rPr>
        <w:t xml:space="preserve">EDA </w:t>
      </w:r>
      <w:r w:rsidRPr="0066449F">
        <w:rPr>
          <w:rFonts w:ascii="Arial" w:hAnsi="Arial" w:cs="Arial"/>
        </w:rPr>
        <w:t>[1</w:t>
      </w:r>
      <w:r>
        <w:rPr>
          <w:rFonts w:ascii="Arial" w:hAnsi="Arial" w:cs="Arial"/>
        </w:rPr>
        <w:t>8</w:t>
      </w:r>
      <w:r w:rsidRPr="0066449F">
        <w:rPr>
          <w:rFonts w:ascii="Arial" w:hAnsi="Arial" w:cs="Arial"/>
        </w:rPr>
        <w:t xml:space="preserve">]. Mutacje genu </w:t>
      </w:r>
      <w:r w:rsidRPr="0066449F">
        <w:rPr>
          <w:rFonts w:ascii="Arial" w:hAnsi="Arial" w:cs="Arial"/>
          <w:i/>
        </w:rPr>
        <w:t>EDA</w:t>
      </w:r>
      <w:r w:rsidRPr="0066449F">
        <w:rPr>
          <w:rFonts w:ascii="Arial" w:hAnsi="Arial" w:cs="Arial"/>
        </w:rPr>
        <w:t xml:space="preserve"> są opisywane zarówno jako przyczyna wrodzonego braku zawiązków zębów stałych jak </w:t>
      </w:r>
      <w:r w:rsidRPr="0066449F">
        <w:rPr>
          <w:rFonts w:ascii="Arial" w:hAnsi="Arial" w:cs="Arial"/>
        </w:rPr>
        <w:br/>
        <w:t xml:space="preserve">i </w:t>
      </w:r>
      <w:proofErr w:type="spellStart"/>
      <w:r w:rsidRPr="0066449F">
        <w:rPr>
          <w:rFonts w:ascii="Arial" w:hAnsi="Arial" w:cs="Arial"/>
        </w:rPr>
        <w:t>hipohydrotycznej</w:t>
      </w:r>
      <w:proofErr w:type="spellEnd"/>
      <w:r w:rsidRPr="0066449F">
        <w:rPr>
          <w:rFonts w:ascii="Arial" w:hAnsi="Arial" w:cs="Arial"/>
        </w:rPr>
        <w:t xml:space="preserve"> dysplazji ektodermalnej, która jest zespołem zaburzeń rozwojowych tkanek pochodzenia ektodermalnego [1</w:t>
      </w:r>
      <w:r>
        <w:rPr>
          <w:rFonts w:ascii="Arial" w:hAnsi="Arial" w:cs="Arial"/>
        </w:rPr>
        <w:t>9</w:t>
      </w:r>
      <w:r w:rsidRPr="0066449F">
        <w:rPr>
          <w:rFonts w:ascii="Arial" w:hAnsi="Arial" w:cs="Arial"/>
        </w:rPr>
        <w:t xml:space="preserve">]. Główne objawy dysplazji ektodermalnej dotyczą skóry i jej przydatków, uzębienia, budowy części twarzowej czaszki, tkanek oka, ucha, nadnerczy, układu nerwowego oraz rozwoju umysłowego. Wśród genów kandydackich dla agenezji zębów stałych wymienia się także geny, których warianty nukleotydowe wykazują związek z ryzykiem wady </w:t>
      </w:r>
      <w:proofErr w:type="spellStart"/>
      <w:r w:rsidRPr="0066449F">
        <w:rPr>
          <w:rFonts w:ascii="Arial" w:hAnsi="Arial" w:cs="Arial"/>
        </w:rPr>
        <w:t>rozszczepowej</w:t>
      </w:r>
      <w:proofErr w:type="spellEnd"/>
      <w:r>
        <w:rPr>
          <w:rFonts w:ascii="Arial" w:hAnsi="Arial" w:cs="Arial"/>
        </w:rPr>
        <w:t xml:space="preserve"> [20</w:t>
      </w:r>
      <w:r w:rsidRPr="0066449F">
        <w:rPr>
          <w:rFonts w:ascii="Arial" w:hAnsi="Arial" w:cs="Arial"/>
        </w:rPr>
        <w:t xml:space="preserve">]. Należą do nich geny kodujące białka szlaku </w:t>
      </w:r>
      <w:r w:rsidRPr="0066449F">
        <w:rPr>
          <w:rFonts w:ascii="Arial" w:hAnsi="Arial" w:cs="Arial"/>
        </w:rPr>
        <w:lastRenderedPageBreak/>
        <w:t xml:space="preserve">sygnalizacyjnego TGF czy też gen </w:t>
      </w:r>
      <w:r w:rsidRPr="0066449F">
        <w:rPr>
          <w:rFonts w:ascii="Arial" w:hAnsi="Arial" w:cs="Arial"/>
          <w:i/>
        </w:rPr>
        <w:t>CDH1</w:t>
      </w:r>
      <w:r w:rsidRPr="0066449F">
        <w:rPr>
          <w:rFonts w:ascii="Arial" w:hAnsi="Arial" w:cs="Arial"/>
        </w:rPr>
        <w:t xml:space="preserve">. Na tej podstawie zaproponowano hipotezę według której wrodzone braki zębów stałych są jednym z fenotypów wady </w:t>
      </w:r>
      <w:proofErr w:type="spellStart"/>
      <w:r w:rsidRPr="0066449F">
        <w:rPr>
          <w:rFonts w:ascii="Arial" w:hAnsi="Arial" w:cs="Arial"/>
        </w:rPr>
        <w:t>rozszczepowej</w:t>
      </w:r>
      <w:proofErr w:type="spellEnd"/>
      <w:r w:rsidRPr="0066449F">
        <w:rPr>
          <w:rFonts w:ascii="Arial" w:hAnsi="Arial" w:cs="Arial"/>
        </w:rPr>
        <w:t xml:space="preserve"> [</w:t>
      </w:r>
      <w:r>
        <w:rPr>
          <w:rFonts w:ascii="Arial" w:hAnsi="Arial" w:cs="Arial"/>
        </w:rPr>
        <w:t>21</w:t>
      </w:r>
      <w:r w:rsidRPr="0066449F">
        <w:rPr>
          <w:rFonts w:ascii="Arial" w:hAnsi="Arial" w:cs="Arial"/>
        </w:rPr>
        <w:t>]. Potwierdzeniem tej hipotezy są dane wskazujące, że nieprawidłowości zębowe dotyczące liczby zębów oraz ich rozmiaru, kształtu i czasu wyżynania znacznie częściej występują w populacji osób z rozszczepami wargi i podniebienia w porównaniu do populacji ogólnej [</w:t>
      </w:r>
      <w:r>
        <w:rPr>
          <w:rFonts w:ascii="Arial" w:hAnsi="Arial" w:cs="Arial"/>
        </w:rPr>
        <w:t>22, 23</w:t>
      </w:r>
      <w:r w:rsidRPr="0066449F">
        <w:rPr>
          <w:rFonts w:ascii="Arial" w:hAnsi="Arial" w:cs="Arial"/>
        </w:rPr>
        <w:t xml:space="preserve">]. Zwiększona częstość agenezji zębów u osób z wadą </w:t>
      </w:r>
      <w:proofErr w:type="spellStart"/>
      <w:r w:rsidRPr="0066449F">
        <w:rPr>
          <w:rFonts w:ascii="Arial" w:hAnsi="Arial" w:cs="Arial"/>
        </w:rPr>
        <w:t>rozszc</w:t>
      </w:r>
      <w:r>
        <w:rPr>
          <w:rFonts w:ascii="Arial" w:hAnsi="Arial" w:cs="Arial"/>
        </w:rPr>
        <w:t>zepową</w:t>
      </w:r>
      <w:proofErr w:type="spellEnd"/>
      <w:r>
        <w:rPr>
          <w:rFonts w:ascii="Arial" w:hAnsi="Arial" w:cs="Arial"/>
        </w:rPr>
        <w:t xml:space="preserve"> jest obserwowana zarówno </w:t>
      </w:r>
      <w:r w:rsidRPr="0066449F">
        <w:rPr>
          <w:rFonts w:ascii="Arial" w:hAnsi="Arial" w:cs="Arial"/>
        </w:rPr>
        <w:t xml:space="preserve">w obrębie rozszczepu jak </w:t>
      </w:r>
      <w:r>
        <w:rPr>
          <w:rFonts w:ascii="Arial" w:hAnsi="Arial" w:cs="Arial"/>
        </w:rPr>
        <w:br/>
      </w:r>
      <w:r w:rsidRPr="0066449F">
        <w:rPr>
          <w:rFonts w:ascii="Arial" w:hAnsi="Arial" w:cs="Arial"/>
        </w:rPr>
        <w:t>i poza nim [2</w:t>
      </w:r>
      <w:r>
        <w:rPr>
          <w:rFonts w:ascii="Arial" w:hAnsi="Arial" w:cs="Arial"/>
        </w:rPr>
        <w:t>2, 23</w:t>
      </w:r>
      <w:r w:rsidRPr="0066449F">
        <w:rPr>
          <w:rFonts w:ascii="Arial" w:hAnsi="Arial" w:cs="Arial"/>
        </w:rPr>
        <w:t xml:space="preserve">]. </w:t>
      </w:r>
    </w:p>
    <w:p w:rsidR="009E6D93" w:rsidRPr="0066449F" w:rsidRDefault="009E6D93" w:rsidP="009E6D93">
      <w:pPr>
        <w:spacing w:after="0" w:line="360" w:lineRule="auto"/>
        <w:ind w:firstLine="284"/>
        <w:jc w:val="both"/>
        <w:rPr>
          <w:rFonts w:ascii="Arial" w:hAnsi="Arial" w:cs="Arial"/>
          <w:bCs/>
        </w:rPr>
      </w:pPr>
      <w:r w:rsidRPr="0066449F">
        <w:rPr>
          <w:rFonts w:ascii="Arial" w:hAnsi="Arial" w:cs="Arial"/>
          <w:bCs/>
        </w:rPr>
        <w:t xml:space="preserve">Głównym celem rozprawy doktorskiej była identyfikacja czynników genetycznych, które mogą znacząco wpływać na ryzyko wystąpienia </w:t>
      </w:r>
      <w:proofErr w:type="spellStart"/>
      <w:r w:rsidRPr="0066449F">
        <w:rPr>
          <w:rFonts w:ascii="Arial" w:hAnsi="Arial" w:cs="Arial"/>
          <w:bCs/>
        </w:rPr>
        <w:t>nsCL</w:t>
      </w:r>
      <w:proofErr w:type="spellEnd"/>
      <w:r w:rsidRPr="0066449F">
        <w:rPr>
          <w:rFonts w:ascii="Arial" w:hAnsi="Arial" w:cs="Arial"/>
          <w:bCs/>
        </w:rPr>
        <w:t>/P oraz wrodzonego braku zawiązków zębów stałych w populacji polskiej.</w:t>
      </w:r>
    </w:p>
    <w:p w:rsidR="009E6D93" w:rsidRPr="0066449F" w:rsidRDefault="009E6D93" w:rsidP="009E6D93">
      <w:pPr>
        <w:spacing w:after="0" w:line="360" w:lineRule="auto"/>
        <w:jc w:val="both"/>
        <w:rPr>
          <w:rFonts w:ascii="Arial" w:hAnsi="Arial" w:cs="Arial"/>
          <w:bCs/>
        </w:rPr>
      </w:pPr>
      <w:r w:rsidRPr="0066449F">
        <w:rPr>
          <w:rFonts w:ascii="Arial" w:hAnsi="Arial" w:cs="Arial"/>
          <w:bCs/>
          <w:u w:val="single"/>
        </w:rPr>
        <w:t>Cele szczegółowe pracy doktorskiej obejmowały:</w:t>
      </w:r>
    </w:p>
    <w:p w:rsidR="009E6D93" w:rsidRPr="0066449F" w:rsidRDefault="009E6D93" w:rsidP="009E6D93">
      <w:pPr>
        <w:numPr>
          <w:ilvl w:val="0"/>
          <w:numId w:val="4"/>
        </w:numPr>
        <w:spacing w:after="0" w:line="360" w:lineRule="auto"/>
        <w:jc w:val="both"/>
        <w:rPr>
          <w:rFonts w:ascii="Arial" w:hAnsi="Arial" w:cs="Arial"/>
        </w:rPr>
      </w:pPr>
      <w:r w:rsidRPr="0066449F">
        <w:rPr>
          <w:rFonts w:ascii="Arial" w:hAnsi="Arial" w:cs="Arial"/>
        </w:rPr>
        <w:t xml:space="preserve">identyfikację etiologicznych mutacji wybranych genów kandydackich w rodzinach </w:t>
      </w:r>
      <w:r w:rsidRPr="0066449F">
        <w:rPr>
          <w:rFonts w:ascii="Arial" w:hAnsi="Arial" w:cs="Arial"/>
        </w:rPr>
        <w:br/>
        <w:t>z wrodzonym brakiem zawiązków zębów stałych oraz analizę korelacji genotypowo-fenotypowych</w:t>
      </w:r>
    </w:p>
    <w:p w:rsidR="009E6D93" w:rsidRPr="0066449F" w:rsidRDefault="009E6D93" w:rsidP="009E6D93">
      <w:pPr>
        <w:numPr>
          <w:ilvl w:val="0"/>
          <w:numId w:val="4"/>
        </w:numPr>
        <w:spacing w:after="0" w:line="360" w:lineRule="auto"/>
        <w:jc w:val="both"/>
        <w:rPr>
          <w:rFonts w:ascii="Arial" w:hAnsi="Arial" w:cs="Arial"/>
        </w:rPr>
      </w:pPr>
      <w:r w:rsidRPr="0066449F">
        <w:rPr>
          <w:rFonts w:ascii="Arial" w:hAnsi="Arial" w:cs="Arial"/>
        </w:rPr>
        <w:t xml:space="preserve">sprawdzenie czy warianty polimorficzne genu </w:t>
      </w:r>
      <w:r w:rsidRPr="0066449F">
        <w:rPr>
          <w:rFonts w:ascii="Arial" w:hAnsi="Arial" w:cs="Arial"/>
          <w:i/>
          <w:iCs/>
        </w:rPr>
        <w:t>DLX1</w:t>
      </w:r>
      <w:r w:rsidRPr="0066449F">
        <w:rPr>
          <w:rFonts w:ascii="Arial" w:hAnsi="Arial" w:cs="Arial"/>
        </w:rPr>
        <w:t xml:space="preserve"> wykazują związek z występowaniem </w:t>
      </w:r>
      <w:proofErr w:type="spellStart"/>
      <w:r w:rsidRPr="0066449F">
        <w:rPr>
          <w:rFonts w:ascii="Arial" w:hAnsi="Arial" w:cs="Arial"/>
        </w:rPr>
        <w:t>nsCL</w:t>
      </w:r>
      <w:proofErr w:type="spellEnd"/>
      <w:r w:rsidRPr="0066449F">
        <w:rPr>
          <w:rFonts w:ascii="Arial" w:hAnsi="Arial" w:cs="Arial"/>
        </w:rPr>
        <w:t xml:space="preserve">/P </w:t>
      </w:r>
    </w:p>
    <w:p w:rsidR="009E6D93" w:rsidRPr="0066449F" w:rsidRDefault="009E6D93" w:rsidP="009E6D93">
      <w:pPr>
        <w:numPr>
          <w:ilvl w:val="0"/>
          <w:numId w:val="4"/>
        </w:numPr>
        <w:spacing w:after="0" w:line="360" w:lineRule="auto"/>
        <w:jc w:val="both"/>
        <w:rPr>
          <w:rFonts w:ascii="Arial" w:hAnsi="Arial" w:cs="Arial"/>
        </w:rPr>
      </w:pPr>
      <w:r w:rsidRPr="0066449F">
        <w:rPr>
          <w:rFonts w:ascii="Arial" w:hAnsi="Arial" w:cs="Arial"/>
        </w:rPr>
        <w:t xml:space="preserve">potwierdzenie w niezależnej grupie chorych z wadą </w:t>
      </w:r>
      <w:proofErr w:type="spellStart"/>
      <w:r w:rsidRPr="0066449F">
        <w:rPr>
          <w:rFonts w:ascii="Arial" w:hAnsi="Arial" w:cs="Arial"/>
        </w:rPr>
        <w:t>rozszczepową</w:t>
      </w:r>
      <w:proofErr w:type="spellEnd"/>
      <w:r w:rsidRPr="0066449F">
        <w:rPr>
          <w:rFonts w:ascii="Arial" w:hAnsi="Arial" w:cs="Arial"/>
        </w:rPr>
        <w:t xml:space="preserve"> oraz grupie kontrolnej najistotniejszych wyników analizy GWAS, która została wykonana dla </w:t>
      </w:r>
      <w:proofErr w:type="spellStart"/>
      <w:r w:rsidRPr="0066449F">
        <w:rPr>
          <w:rFonts w:ascii="Arial" w:hAnsi="Arial" w:cs="Arial"/>
        </w:rPr>
        <w:t>nsCL</w:t>
      </w:r>
      <w:proofErr w:type="spellEnd"/>
      <w:r w:rsidRPr="0066449F">
        <w:rPr>
          <w:rFonts w:ascii="Arial" w:hAnsi="Arial" w:cs="Arial"/>
        </w:rPr>
        <w:t xml:space="preserve">/P w populacji polskiej (weryfikacja wyników analiz GWAS w niezależnych badaniach </w:t>
      </w:r>
      <w:proofErr w:type="spellStart"/>
      <w:r w:rsidRPr="0066449F">
        <w:rPr>
          <w:rFonts w:ascii="Arial" w:hAnsi="Arial" w:cs="Arial"/>
        </w:rPr>
        <w:t>replikacyjnych</w:t>
      </w:r>
      <w:proofErr w:type="spellEnd"/>
      <w:r w:rsidRPr="0066449F">
        <w:rPr>
          <w:rFonts w:ascii="Arial" w:hAnsi="Arial" w:cs="Arial"/>
        </w:rPr>
        <w:t xml:space="preserve"> jest „złotym standardem” w badaniach genomowych); analiza </w:t>
      </w:r>
      <w:proofErr w:type="spellStart"/>
      <w:r w:rsidRPr="0066449F">
        <w:rPr>
          <w:rFonts w:ascii="Arial" w:hAnsi="Arial" w:cs="Arial"/>
        </w:rPr>
        <w:t>replikacyjna</w:t>
      </w:r>
      <w:proofErr w:type="spellEnd"/>
      <w:r w:rsidRPr="0066449F">
        <w:rPr>
          <w:rFonts w:ascii="Arial" w:hAnsi="Arial" w:cs="Arial"/>
        </w:rPr>
        <w:t xml:space="preserve"> polegała na:</w:t>
      </w:r>
    </w:p>
    <w:p w:rsidR="009E6D93" w:rsidRPr="0066449F" w:rsidRDefault="009E6D93" w:rsidP="009E6D93">
      <w:pPr>
        <w:pStyle w:val="Akapitzlist"/>
        <w:numPr>
          <w:ilvl w:val="0"/>
          <w:numId w:val="3"/>
        </w:numPr>
        <w:spacing w:after="0" w:line="360" w:lineRule="auto"/>
        <w:ind w:left="709"/>
        <w:contextualSpacing w:val="0"/>
        <w:jc w:val="both"/>
        <w:rPr>
          <w:rFonts w:ascii="Arial" w:hAnsi="Arial" w:cs="Arial"/>
        </w:rPr>
      </w:pPr>
      <w:r w:rsidRPr="0066449F">
        <w:rPr>
          <w:rFonts w:ascii="Arial" w:hAnsi="Arial" w:cs="Arial"/>
        </w:rPr>
        <w:t xml:space="preserve">badaniu asocjacyjnym wybranych wariantów polimorficznych genów </w:t>
      </w:r>
      <w:r w:rsidRPr="0066449F">
        <w:rPr>
          <w:rFonts w:ascii="Arial" w:hAnsi="Arial" w:cs="Arial"/>
          <w:i/>
          <w:iCs/>
        </w:rPr>
        <w:t>DLG1</w:t>
      </w:r>
      <w:r w:rsidRPr="0066449F">
        <w:rPr>
          <w:rFonts w:ascii="Arial" w:hAnsi="Arial" w:cs="Arial"/>
        </w:rPr>
        <w:t xml:space="preserve"> oraz </w:t>
      </w:r>
      <w:r w:rsidRPr="0066449F">
        <w:rPr>
          <w:rFonts w:ascii="Arial" w:hAnsi="Arial" w:cs="Arial"/>
          <w:i/>
          <w:iCs/>
        </w:rPr>
        <w:t>CDKAL1</w:t>
      </w:r>
    </w:p>
    <w:p w:rsidR="009E6D93" w:rsidRPr="0066449F" w:rsidRDefault="009E6D93" w:rsidP="009E6D93">
      <w:pPr>
        <w:pStyle w:val="Akapitzlist"/>
        <w:numPr>
          <w:ilvl w:val="0"/>
          <w:numId w:val="3"/>
        </w:numPr>
        <w:spacing w:after="0" w:line="360" w:lineRule="auto"/>
        <w:ind w:left="709"/>
        <w:contextualSpacing w:val="0"/>
        <w:jc w:val="both"/>
        <w:rPr>
          <w:rFonts w:ascii="Arial" w:hAnsi="Arial" w:cs="Arial"/>
        </w:rPr>
      </w:pPr>
      <w:r w:rsidRPr="0066449F">
        <w:rPr>
          <w:rFonts w:ascii="Arial" w:hAnsi="Arial" w:cs="Arial"/>
        </w:rPr>
        <w:t xml:space="preserve">poszukiwaniu etiologicznych wariantów w sekwencji kodującej genu </w:t>
      </w:r>
      <w:r w:rsidRPr="0066449F">
        <w:rPr>
          <w:rFonts w:ascii="Arial" w:hAnsi="Arial" w:cs="Arial"/>
          <w:i/>
          <w:iCs/>
        </w:rPr>
        <w:t>CDKAL1</w:t>
      </w:r>
    </w:p>
    <w:p w:rsidR="009E6D93" w:rsidRPr="0066449F" w:rsidRDefault="009E6D93" w:rsidP="009E6D93">
      <w:pPr>
        <w:pStyle w:val="Akapitzlist"/>
        <w:numPr>
          <w:ilvl w:val="0"/>
          <w:numId w:val="3"/>
        </w:numPr>
        <w:spacing w:after="0" w:line="360" w:lineRule="auto"/>
        <w:ind w:left="709"/>
        <w:contextualSpacing w:val="0"/>
        <w:jc w:val="both"/>
        <w:rPr>
          <w:rFonts w:ascii="Arial" w:hAnsi="Arial" w:cs="Arial"/>
          <w:lang w:val="en-GB"/>
        </w:rPr>
      </w:pPr>
      <w:r w:rsidRPr="0066449F">
        <w:rPr>
          <w:rFonts w:ascii="Arial" w:hAnsi="Arial" w:cs="Arial"/>
        </w:rPr>
        <w:t>analizie korelacji genotypowo-fenotypowych</w:t>
      </w:r>
    </w:p>
    <w:p w:rsidR="009E6D93" w:rsidRPr="0066449F" w:rsidRDefault="009E6D93" w:rsidP="009E6D93">
      <w:pPr>
        <w:spacing w:after="0" w:line="360" w:lineRule="auto"/>
        <w:rPr>
          <w:rFonts w:ascii="Arial" w:hAnsi="Arial" w:cs="Arial"/>
          <w:i/>
        </w:rPr>
      </w:pPr>
      <w:r w:rsidRPr="0066449F">
        <w:rPr>
          <w:rFonts w:ascii="Arial" w:hAnsi="Arial" w:cs="Arial"/>
          <w:u w:val="single"/>
        </w:rPr>
        <w:t>Materiał</w:t>
      </w:r>
      <w:r w:rsidRPr="0066449F">
        <w:rPr>
          <w:rFonts w:ascii="Arial" w:hAnsi="Arial" w:cs="Arial"/>
          <w:i/>
        </w:rPr>
        <w:t>:</w:t>
      </w:r>
    </w:p>
    <w:p w:rsidR="009E6D93" w:rsidRPr="0066449F" w:rsidRDefault="009E6D93" w:rsidP="009E6D93">
      <w:pPr>
        <w:spacing w:after="0" w:line="360" w:lineRule="auto"/>
        <w:ind w:firstLine="708"/>
        <w:jc w:val="both"/>
        <w:rPr>
          <w:rFonts w:ascii="Arial" w:hAnsi="Arial" w:cs="Arial"/>
        </w:rPr>
      </w:pPr>
      <w:r w:rsidRPr="0066449F">
        <w:rPr>
          <w:rFonts w:ascii="Arial" w:hAnsi="Arial" w:cs="Arial"/>
        </w:rPr>
        <w:t xml:space="preserve">Materiałem do badań było DNA wyizolowane z krwi obwodowej chorych z </w:t>
      </w:r>
      <w:proofErr w:type="spellStart"/>
      <w:r w:rsidRPr="0066449F">
        <w:rPr>
          <w:rFonts w:ascii="Arial" w:hAnsi="Arial" w:cs="Arial"/>
        </w:rPr>
        <w:t>nsCL</w:t>
      </w:r>
      <w:proofErr w:type="spellEnd"/>
      <w:r w:rsidRPr="0066449F">
        <w:rPr>
          <w:rFonts w:ascii="Arial" w:hAnsi="Arial" w:cs="Arial"/>
        </w:rPr>
        <w:t>/P oraz wrodzonym brakiem zawiązków zębów stałych. Do badań wykorzystano także próbki DNA wyizolowane z krwi obwodowej osób zdrowych bez żadnych wad rozwojowych. Próbki krwi wraz ze szczegółowym opisem klinicznym uzyskano w ramach współpracy z wieloma ośrodkami zarówno w kraju jak i zagranicą. Na badania i przechowywanie DNA uzyskano pisemną zgodę Komisji Bioetycznej przy Uniwersytecie Medycznym w Poznaniu (numer 891/11).</w:t>
      </w:r>
    </w:p>
    <w:p w:rsidR="009E6D93" w:rsidRPr="0066449F" w:rsidRDefault="009E6D93" w:rsidP="009E6D93">
      <w:pPr>
        <w:spacing w:after="0" w:line="360" w:lineRule="auto"/>
        <w:rPr>
          <w:rFonts w:ascii="Arial" w:hAnsi="Arial" w:cs="Arial"/>
          <w:u w:val="single"/>
        </w:rPr>
      </w:pPr>
      <w:r w:rsidRPr="0066449F">
        <w:rPr>
          <w:rFonts w:ascii="Arial" w:hAnsi="Arial" w:cs="Arial"/>
        </w:rPr>
        <w:t xml:space="preserve"> </w:t>
      </w:r>
      <w:r w:rsidRPr="0066449F">
        <w:rPr>
          <w:rFonts w:ascii="Arial" w:hAnsi="Arial" w:cs="Arial"/>
          <w:u w:val="single"/>
        </w:rPr>
        <w:t>Metodyka:</w:t>
      </w:r>
    </w:p>
    <w:p w:rsidR="009E6D93" w:rsidRPr="0066449F" w:rsidRDefault="009E6D93" w:rsidP="009E6D93">
      <w:pPr>
        <w:numPr>
          <w:ilvl w:val="0"/>
          <w:numId w:val="1"/>
        </w:numPr>
        <w:spacing w:after="0" w:line="360" w:lineRule="auto"/>
        <w:ind w:left="284" w:hanging="284"/>
        <w:jc w:val="both"/>
        <w:rPr>
          <w:rFonts w:ascii="Arial" w:hAnsi="Arial" w:cs="Arial"/>
        </w:rPr>
      </w:pPr>
      <w:r w:rsidRPr="0066449F">
        <w:rPr>
          <w:rFonts w:ascii="Arial" w:hAnsi="Arial" w:cs="Arial"/>
          <w:bCs/>
        </w:rPr>
        <w:t>izolacja DNA z krwi obwodowej techniką wysalania</w:t>
      </w:r>
    </w:p>
    <w:p w:rsidR="009E6D93" w:rsidRDefault="009E6D93" w:rsidP="009E6D93">
      <w:pPr>
        <w:numPr>
          <w:ilvl w:val="0"/>
          <w:numId w:val="1"/>
        </w:numPr>
        <w:spacing w:after="0" w:line="360" w:lineRule="auto"/>
        <w:ind w:left="284" w:hanging="284"/>
        <w:jc w:val="both"/>
        <w:rPr>
          <w:rFonts w:ascii="Arial" w:hAnsi="Arial" w:cs="Arial"/>
        </w:rPr>
      </w:pPr>
      <w:r w:rsidRPr="00D563F9">
        <w:rPr>
          <w:rFonts w:ascii="Arial" w:hAnsi="Arial" w:cs="Arial"/>
        </w:rPr>
        <w:t xml:space="preserve">identyfikacja mutacji: </w:t>
      </w:r>
      <w:r w:rsidRPr="00D563F9">
        <w:rPr>
          <w:rFonts w:ascii="Arial" w:hAnsi="Arial" w:cs="Arial"/>
          <w:bCs/>
        </w:rPr>
        <w:t>bezpośrednie sekwencjonowanie DNA</w:t>
      </w:r>
      <w:r w:rsidRPr="00D563F9">
        <w:rPr>
          <w:rFonts w:ascii="Arial" w:hAnsi="Arial" w:cs="Arial"/>
          <w:b/>
          <w:bCs/>
        </w:rPr>
        <w:t xml:space="preserve"> </w:t>
      </w:r>
    </w:p>
    <w:p w:rsidR="009E6D93" w:rsidRPr="00D563F9" w:rsidRDefault="009E6D93" w:rsidP="009E6D93">
      <w:pPr>
        <w:numPr>
          <w:ilvl w:val="0"/>
          <w:numId w:val="1"/>
        </w:numPr>
        <w:spacing w:after="0" w:line="360" w:lineRule="auto"/>
        <w:ind w:left="284" w:hanging="284"/>
        <w:jc w:val="both"/>
        <w:rPr>
          <w:rFonts w:ascii="Arial" w:hAnsi="Arial" w:cs="Arial"/>
        </w:rPr>
      </w:pPr>
      <w:r w:rsidRPr="00D563F9">
        <w:rPr>
          <w:rFonts w:ascii="Arial" w:hAnsi="Arial" w:cs="Arial"/>
        </w:rPr>
        <w:lastRenderedPageBreak/>
        <w:t xml:space="preserve">analiza wybranych wariantów nukleotydowych: </w:t>
      </w:r>
      <w:r w:rsidRPr="00D563F9">
        <w:rPr>
          <w:rFonts w:ascii="Arial" w:hAnsi="Arial" w:cs="Arial"/>
          <w:bCs/>
        </w:rPr>
        <w:t>metoda HRM</w:t>
      </w:r>
      <w:r w:rsidRPr="00D563F9">
        <w:rPr>
          <w:rFonts w:ascii="Arial" w:hAnsi="Arial" w:cs="Arial"/>
          <w:b/>
          <w:bCs/>
        </w:rPr>
        <w:t xml:space="preserve"> </w:t>
      </w:r>
      <w:r w:rsidRPr="00D563F9">
        <w:rPr>
          <w:rFonts w:ascii="Arial" w:hAnsi="Arial" w:cs="Arial"/>
        </w:rPr>
        <w:t xml:space="preserve">(ang. </w:t>
      </w:r>
      <w:r w:rsidRPr="00D563F9">
        <w:rPr>
          <w:rFonts w:ascii="Arial" w:hAnsi="Arial" w:cs="Arial"/>
          <w:i/>
          <w:iCs/>
        </w:rPr>
        <w:t xml:space="preserve">High Resolution </w:t>
      </w:r>
      <w:proofErr w:type="spellStart"/>
      <w:r w:rsidRPr="00D563F9">
        <w:rPr>
          <w:rFonts w:ascii="Arial" w:hAnsi="Arial" w:cs="Arial"/>
          <w:i/>
          <w:iCs/>
        </w:rPr>
        <w:t>Melting</w:t>
      </w:r>
      <w:proofErr w:type="spellEnd"/>
      <w:r w:rsidRPr="00D563F9">
        <w:rPr>
          <w:rFonts w:ascii="Arial" w:hAnsi="Arial" w:cs="Arial"/>
        </w:rPr>
        <w:t>)</w:t>
      </w:r>
    </w:p>
    <w:p w:rsidR="009E6D93" w:rsidRPr="0066449F" w:rsidRDefault="009E6D93" w:rsidP="009E6D93">
      <w:pPr>
        <w:numPr>
          <w:ilvl w:val="0"/>
          <w:numId w:val="1"/>
        </w:numPr>
        <w:spacing w:after="0" w:line="360" w:lineRule="auto"/>
        <w:ind w:left="284" w:hanging="284"/>
        <w:jc w:val="both"/>
        <w:rPr>
          <w:rFonts w:ascii="Arial" w:hAnsi="Arial" w:cs="Arial"/>
        </w:rPr>
      </w:pPr>
      <w:r w:rsidRPr="0066449F">
        <w:rPr>
          <w:rFonts w:ascii="Arial" w:hAnsi="Arial" w:cs="Arial"/>
          <w:bCs/>
        </w:rPr>
        <w:t xml:space="preserve">analiza </w:t>
      </w:r>
      <w:r w:rsidRPr="0066449F">
        <w:rPr>
          <w:rFonts w:ascii="Arial" w:hAnsi="Arial" w:cs="Arial"/>
          <w:bCs/>
          <w:i/>
          <w:iCs/>
        </w:rPr>
        <w:t xml:space="preserve">in </w:t>
      </w:r>
      <w:proofErr w:type="spellStart"/>
      <w:r w:rsidRPr="0066449F">
        <w:rPr>
          <w:rFonts w:ascii="Arial" w:hAnsi="Arial" w:cs="Arial"/>
          <w:bCs/>
          <w:i/>
          <w:iCs/>
        </w:rPr>
        <w:t>silico</w:t>
      </w:r>
      <w:proofErr w:type="spellEnd"/>
      <w:r w:rsidRPr="0066449F">
        <w:rPr>
          <w:rFonts w:ascii="Arial" w:hAnsi="Arial" w:cs="Arial"/>
          <w:b/>
          <w:bCs/>
          <w:iCs/>
        </w:rPr>
        <w:t xml:space="preserve"> </w:t>
      </w:r>
      <w:r w:rsidRPr="0066449F">
        <w:rPr>
          <w:rFonts w:ascii="Arial" w:hAnsi="Arial" w:cs="Arial"/>
        </w:rPr>
        <w:t>zidentyfikowanych mutacji: programy PolyPhen-2 oraz SIFT</w:t>
      </w:r>
    </w:p>
    <w:p w:rsidR="009E6D93" w:rsidRPr="0066449F" w:rsidRDefault="009E6D93" w:rsidP="009E6D93">
      <w:pPr>
        <w:numPr>
          <w:ilvl w:val="0"/>
          <w:numId w:val="2"/>
        </w:numPr>
        <w:spacing w:after="0" w:line="360" w:lineRule="auto"/>
        <w:ind w:left="284" w:hanging="284"/>
        <w:jc w:val="both"/>
        <w:rPr>
          <w:rFonts w:ascii="Arial" w:hAnsi="Arial" w:cs="Arial"/>
          <w:lang w:val="en-GB"/>
        </w:rPr>
      </w:pPr>
      <w:r w:rsidRPr="0066449F">
        <w:rPr>
          <w:rFonts w:ascii="Arial" w:hAnsi="Arial" w:cs="Arial"/>
          <w:bCs/>
        </w:rPr>
        <w:t>analiza statystyczna:</w:t>
      </w:r>
    </w:p>
    <w:p w:rsidR="009E6D93" w:rsidRPr="0066449F" w:rsidRDefault="009E6D93" w:rsidP="009E6D93">
      <w:pPr>
        <w:pStyle w:val="Akapitzlist"/>
        <w:numPr>
          <w:ilvl w:val="0"/>
          <w:numId w:val="5"/>
        </w:numPr>
        <w:spacing w:after="0" w:line="360" w:lineRule="auto"/>
        <w:ind w:left="426" w:hanging="219"/>
        <w:contextualSpacing w:val="0"/>
        <w:jc w:val="both"/>
        <w:rPr>
          <w:rFonts w:ascii="Arial" w:hAnsi="Arial" w:cs="Arial"/>
        </w:rPr>
      </w:pPr>
      <w:r w:rsidRPr="0066449F">
        <w:rPr>
          <w:rFonts w:ascii="Arial" w:hAnsi="Arial" w:cs="Arial"/>
        </w:rPr>
        <w:t xml:space="preserve">ocena związku badanych wariantów nukleotydowych z ryzkiem </w:t>
      </w:r>
      <w:proofErr w:type="spellStart"/>
      <w:r w:rsidRPr="0066449F">
        <w:rPr>
          <w:rFonts w:ascii="Arial" w:hAnsi="Arial" w:cs="Arial"/>
        </w:rPr>
        <w:t>nsCL</w:t>
      </w:r>
      <w:proofErr w:type="spellEnd"/>
      <w:r w:rsidRPr="0066449F">
        <w:rPr>
          <w:rFonts w:ascii="Arial" w:hAnsi="Arial" w:cs="Arial"/>
        </w:rPr>
        <w:t xml:space="preserve">/P: test trendu </w:t>
      </w:r>
      <w:proofErr w:type="spellStart"/>
      <w:r w:rsidRPr="0066449F">
        <w:rPr>
          <w:rFonts w:ascii="Arial" w:hAnsi="Arial" w:cs="Arial"/>
        </w:rPr>
        <w:t>Cochrana-Armitage</w:t>
      </w:r>
      <w:proofErr w:type="spellEnd"/>
      <w:r w:rsidRPr="0066449F">
        <w:rPr>
          <w:rFonts w:ascii="Arial" w:hAnsi="Arial" w:cs="Arial"/>
        </w:rPr>
        <w:t xml:space="preserve"> (ang. </w:t>
      </w:r>
      <w:proofErr w:type="spellStart"/>
      <w:r w:rsidRPr="0066449F">
        <w:rPr>
          <w:rFonts w:ascii="Arial" w:hAnsi="Arial" w:cs="Arial"/>
          <w:i/>
          <w:iCs/>
        </w:rPr>
        <w:t>Cochran-Armitage</w:t>
      </w:r>
      <w:proofErr w:type="spellEnd"/>
      <w:r w:rsidRPr="0066449F">
        <w:rPr>
          <w:rFonts w:ascii="Arial" w:hAnsi="Arial" w:cs="Arial"/>
          <w:i/>
          <w:iCs/>
        </w:rPr>
        <w:t xml:space="preserve"> trend test</w:t>
      </w:r>
      <w:r w:rsidRPr="0066449F">
        <w:rPr>
          <w:rFonts w:ascii="Arial" w:hAnsi="Arial" w:cs="Arial"/>
        </w:rPr>
        <w:t xml:space="preserve">) </w:t>
      </w:r>
    </w:p>
    <w:p w:rsidR="009E6D93" w:rsidRPr="0066449F" w:rsidRDefault="009E6D93" w:rsidP="009E6D93">
      <w:pPr>
        <w:numPr>
          <w:ilvl w:val="0"/>
          <w:numId w:val="5"/>
        </w:numPr>
        <w:spacing w:after="0" w:line="360" w:lineRule="auto"/>
        <w:ind w:left="426" w:hanging="219"/>
        <w:jc w:val="both"/>
        <w:rPr>
          <w:rFonts w:ascii="Arial" w:hAnsi="Arial" w:cs="Arial"/>
        </w:rPr>
      </w:pPr>
      <w:r w:rsidRPr="0066449F">
        <w:rPr>
          <w:rFonts w:ascii="Arial" w:hAnsi="Arial" w:cs="Arial"/>
        </w:rPr>
        <w:t xml:space="preserve">porównanie częstości alleli oraz genotypów pomiędzy grupą chorych z </w:t>
      </w:r>
      <w:proofErr w:type="spellStart"/>
      <w:r w:rsidRPr="0066449F">
        <w:rPr>
          <w:rFonts w:ascii="Arial" w:hAnsi="Arial" w:cs="Arial"/>
        </w:rPr>
        <w:t>nsCL</w:t>
      </w:r>
      <w:proofErr w:type="spellEnd"/>
      <w:r w:rsidRPr="0066449F">
        <w:rPr>
          <w:rFonts w:ascii="Arial" w:hAnsi="Arial" w:cs="Arial"/>
        </w:rPr>
        <w:t>/P oraz grupą kontrolną: test X</w:t>
      </w:r>
      <w:r w:rsidRPr="0066449F">
        <w:rPr>
          <w:rFonts w:ascii="Arial" w:hAnsi="Arial" w:cs="Arial"/>
          <w:vertAlign w:val="superscript"/>
        </w:rPr>
        <w:t>2</w:t>
      </w:r>
      <w:r w:rsidRPr="0066449F">
        <w:rPr>
          <w:rFonts w:ascii="Arial" w:hAnsi="Arial" w:cs="Arial"/>
        </w:rPr>
        <w:t xml:space="preserve"> oraz test </w:t>
      </w:r>
      <w:proofErr w:type="spellStart"/>
      <w:r w:rsidRPr="0066449F">
        <w:rPr>
          <w:rFonts w:ascii="Arial" w:hAnsi="Arial" w:cs="Arial"/>
        </w:rPr>
        <w:t>Fisher’a</w:t>
      </w:r>
      <w:proofErr w:type="spellEnd"/>
    </w:p>
    <w:p w:rsidR="009E6D93" w:rsidRDefault="009E6D93" w:rsidP="009E6D93">
      <w:pPr>
        <w:numPr>
          <w:ilvl w:val="0"/>
          <w:numId w:val="5"/>
        </w:numPr>
        <w:spacing w:after="0" w:line="360" w:lineRule="auto"/>
        <w:ind w:left="426" w:hanging="219"/>
        <w:jc w:val="both"/>
        <w:rPr>
          <w:rFonts w:ascii="Arial" w:hAnsi="Arial" w:cs="Arial"/>
        </w:rPr>
      </w:pPr>
      <w:r w:rsidRPr="0066449F">
        <w:rPr>
          <w:rFonts w:ascii="Arial" w:hAnsi="Arial" w:cs="Arial"/>
        </w:rPr>
        <w:t>kalkulacja ilorazu szans (OR) przy uwzględnieniu odpowiednich przedziałów ufności (95%CI)</w:t>
      </w:r>
    </w:p>
    <w:p w:rsidR="009E6D93" w:rsidRPr="00D563F9" w:rsidRDefault="009E6D93" w:rsidP="009E6D93">
      <w:pPr>
        <w:numPr>
          <w:ilvl w:val="0"/>
          <w:numId w:val="5"/>
        </w:numPr>
        <w:spacing w:after="0" w:line="360" w:lineRule="auto"/>
        <w:ind w:left="426" w:hanging="219"/>
        <w:jc w:val="both"/>
        <w:rPr>
          <w:rFonts w:ascii="Arial" w:hAnsi="Arial" w:cs="Arial"/>
        </w:rPr>
      </w:pPr>
      <w:r w:rsidRPr="00D563F9">
        <w:rPr>
          <w:rFonts w:ascii="Arial" w:hAnsi="Arial" w:cs="Arial"/>
        </w:rPr>
        <w:t xml:space="preserve">analiza </w:t>
      </w:r>
      <w:proofErr w:type="spellStart"/>
      <w:r w:rsidRPr="00D563F9">
        <w:rPr>
          <w:rFonts w:ascii="Arial" w:hAnsi="Arial" w:cs="Arial"/>
        </w:rPr>
        <w:t>haplotypów</w:t>
      </w:r>
      <w:proofErr w:type="spellEnd"/>
      <w:r w:rsidRPr="00D563F9">
        <w:rPr>
          <w:rFonts w:ascii="Arial" w:hAnsi="Arial" w:cs="Arial"/>
        </w:rPr>
        <w:t xml:space="preserve">: program </w:t>
      </w:r>
      <w:proofErr w:type="spellStart"/>
      <w:r w:rsidRPr="00D563F9">
        <w:rPr>
          <w:rFonts w:ascii="Arial" w:hAnsi="Arial" w:cs="Arial"/>
        </w:rPr>
        <w:t>Haploview</w:t>
      </w:r>
      <w:proofErr w:type="spellEnd"/>
      <w:r w:rsidRPr="00D563F9">
        <w:rPr>
          <w:rFonts w:ascii="Arial" w:hAnsi="Arial" w:cs="Arial"/>
        </w:rPr>
        <w:t xml:space="preserve"> 4.2</w:t>
      </w:r>
    </w:p>
    <w:p w:rsidR="009E6D93" w:rsidRPr="0066449F" w:rsidRDefault="009E6D93" w:rsidP="009E6D93">
      <w:pPr>
        <w:spacing w:after="0" w:line="360" w:lineRule="auto"/>
        <w:jc w:val="both"/>
        <w:rPr>
          <w:rFonts w:ascii="Arial" w:hAnsi="Arial" w:cs="Arial"/>
        </w:rPr>
      </w:pPr>
      <w:r w:rsidRPr="0066449F">
        <w:rPr>
          <w:rFonts w:ascii="Arial" w:hAnsi="Arial" w:cs="Arial"/>
        </w:rPr>
        <w:t xml:space="preserve">w przypadku badań </w:t>
      </w:r>
      <w:proofErr w:type="spellStart"/>
      <w:r w:rsidRPr="0066449F">
        <w:rPr>
          <w:rFonts w:ascii="Arial" w:hAnsi="Arial" w:cs="Arial"/>
        </w:rPr>
        <w:t>replikacyjnych</w:t>
      </w:r>
      <w:proofErr w:type="spellEnd"/>
      <w:r w:rsidRPr="0066449F">
        <w:rPr>
          <w:rFonts w:ascii="Arial" w:hAnsi="Arial" w:cs="Arial"/>
        </w:rPr>
        <w:t xml:space="preserve"> - analizy statystyczne zosta</w:t>
      </w:r>
      <w:r>
        <w:rPr>
          <w:rFonts w:ascii="Arial" w:hAnsi="Arial" w:cs="Arial"/>
        </w:rPr>
        <w:t>ły</w:t>
      </w:r>
      <w:r w:rsidRPr="0066449F">
        <w:rPr>
          <w:rFonts w:ascii="Arial" w:hAnsi="Arial" w:cs="Arial"/>
        </w:rPr>
        <w:t xml:space="preserve"> przeprowadzone zarówno dla wyników uzyskanych w analizie </w:t>
      </w:r>
      <w:proofErr w:type="spellStart"/>
      <w:r w:rsidRPr="0066449F">
        <w:rPr>
          <w:rFonts w:ascii="Arial" w:hAnsi="Arial" w:cs="Arial"/>
        </w:rPr>
        <w:t>replikacyjnej</w:t>
      </w:r>
      <w:proofErr w:type="spellEnd"/>
      <w:r w:rsidRPr="0066449F">
        <w:rPr>
          <w:rFonts w:ascii="Arial" w:hAnsi="Arial" w:cs="Arial"/>
        </w:rPr>
        <w:t xml:space="preserve"> oraz po połączniu wyników analizy </w:t>
      </w:r>
      <w:proofErr w:type="spellStart"/>
      <w:r w:rsidRPr="0066449F">
        <w:rPr>
          <w:rFonts w:ascii="Arial" w:hAnsi="Arial" w:cs="Arial"/>
        </w:rPr>
        <w:t>replikacyjnej</w:t>
      </w:r>
      <w:proofErr w:type="spellEnd"/>
      <w:r w:rsidRPr="0066449F">
        <w:rPr>
          <w:rFonts w:ascii="Arial" w:hAnsi="Arial" w:cs="Arial"/>
        </w:rPr>
        <w:t xml:space="preserve"> oraz analizy GWAS (tzw. analiza łączona); wszystkie analizy statystyczne zostały przeprowadzone także po podziale pacjentów ze względu na płeć i typ rozszczepu</w:t>
      </w:r>
      <w:r>
        <w:rPr>
          <w:rFonts w:ascii="Arial" w:hAnsi="Arial" w:cs="Arial"/>
        </w:rPr>
        <w:t>.</w:t>
      </w:r>
    </w:p>
    <w:p w:rsidR="00CC7D08" w:rsidRDefault="00CC7D08">
      <w:bookmarkStart w:id="0" w:name="_GoBack"/>
      <w:bookmarkEnd w:id="0"/>
    </w:p>
    <w:sectPr w:rsidR="00CC7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97688"/>
    <w:multiLevelType w:val="hybridMultilevel"/>
    <w:tmpl w:val="0A500182"/>
    <w:lvl w:ilvl="0" w:tplc="56E28A4C">
      <w:start w:val="1"/>
      <w:numFmt w:val="bullet"/>
      <w:lvlText w:val="•"/>
      <w:lvlJc w:val="left"/>
      <w:pPr>
        <w:tabs>
          <w:tab w:val="num" w:pos="360"/>
        </w:tabs>
        <w:ind w:left="360" w:hanging="360"/>
      </w:pPr>
      <w:rPr>
        <w:rFonts w:ascii="Arial" w:hAnsi="Arial" w:hint="default"/>
        <w:lang w:val="pl-PL"/>
      </w:rPr>
    </w:lvl>
    <w:lvl w:ilvl="1" w:tplc="AF7CDEFC" w:tentative="1">
      <w:start w:val="1"/>
      <w:numFmt w:val="bullet"/>
      <w:lvlText w:val="•"/>
      <w:lvlJc w:val="left"/>
      <w:pPr>
        <w:tabs>
          <w:tab w:val="num" w:pos="1080"/>
        </w:tabs>
        <w:ind w:left="1080" w:hanging="360"/>
      </w:pPr>
      <w:rPr>
        <w:rFonts w:ascii="Arial" w:hAnsi="Arial" w:hint="default"/>
      </w:rPr>
    </w:lvl>
    <w:lvl w:ilvl="2" w:tplc="F022D7B4" w:tentative="1">
      <w:start w:val="1"/>
      <w:numFmt w:val="bullet"/>
      <w:lvlText w:val="•"/>
      <w:lvlJc w:val="left"/>
      <w:pPr>
        <w:tabs>
          <w:tab w:val="num" w:pos="1800"/>
        </w:tabs>
        <w:ind w:left="1800" w:hanging="360"/>
      </w:pPr>
      <w:rPr>
        <w:rFonts w:ascii="Arial" w:hAnsi="Arial" w:hint="default"/>
      </w:rPr>
    </w:lvl>
    <w:lvl w:ilvl="3" w:tplc="D2C2F48E" w:tentative="1">
      <w:start w:val="1"/>
      <w:numFmt w:val="bullet"/>
      <w:lvlText w:val="•"/>
      <w:lvlJc w:val="left"/>
      <w:pPr>
        <w:tabs>
          <w:tab w:val="num" w:pos="2520"/>
        </w:tabs>
        <w:ind w:left="2520" w:hanging="360"/>
      </w:pPr>
      <w:rPr>
        <w:rFonts w:ascii="Arial" w:hAnsi="Arial" w:hint="default"/>
      </w:rPr>
    </w:lvl>
    <w:lvl w:ilvl="4" w:tplc="9C56F6F0" w:tentative="1">
      <w:start w:val="1"/>
      <w:numFmt w:val="bullet"/>
      <w:lvlText w:val="•"/>
      <w:lvlJc w:val="left"/>
      <w:pPr>
        <w:tabs>
          <w:tab w:val="num" w:pos="3240"/>
        </w:tabs>
        <w:ind w:left="3240" w:hanging="360"/>
      </w:pPr>
      <w:rPr>
        <w:rFonts w:ascii="Arial" w:hAnsi="Arial" w:hint="default"/>
      </w:rPr>
    </w:lvl>
    <w:lvl w:ilvl="5" w:tplc="E90C381A" w:tentative="1">
      <w:start w:val="1"/>
      <w:numFmt w:val="bullet"/>
      <w:lvlText w:val="•"/>
      <w:lvlJc w:val="left"/>
      <w:pPr>
        <w:tabs>
          <w:tab w:val="num" w:pos="3960"/>
        </w:tabs>
        <w:ind w:left="3960" w:hanging="360"/>
      </w:pPr>
      <w:rPr>
        <w:rFonts w:ascii="Arial" w:hAnsi="Arial" w:hint="default"/>
      </w:rPr>
    </w:lvl>
    <w:lvl w:ilvl="6" w:tplc="8BB2D444" w:tentative="1">
      <w:start w:val="1"/>
      <w:numFmt w:val="bullet"/>
      <w:lvlText w:val="•"/>
      <w:lvlJc w:val="left"/>
      <w:pPr>
        <w:tabs>
          <w:tab w:val="num" w:pos="4680"/>
        </w:tabs>
        <w:ind w:left="4680" w:hanging="360"/>
      </w:pPr>
      <w:rPr>
        <w:rFonts w:ascii="Arial" w:hAnsi="Arial" w:hint="default"/>
      </w:rPr>
    </w:lvl>
    <w:lvl w:ilvl="7" w:tplc="B668516E" w:tentative="1">
      <w:start w:val="1"/>
      <w:numFmt w:val="bullet"/>
      <w:lvlText w:val="•"/>
      <w:lvlJc w:val="left"/>
      <w:pPr>
        <w:tabs>
          <w:tab w:val="num" w:pos="5400"/>
        </w:tabs>
        <w:ind w:left="5400" w:hanging="360"/>
      </w:pPr>
      <w:rPr>
        <w:rFonts w:ascii="Arial" w:hAnsi="Arial" w:hint="default"/>
      </w:rPr>
    </w:lvl>
    <w:lvl w:ilvl="8" w:tplc="4B50A410" w:tentative="1">
      <w:start w:val="1"/>
      <w:numFmt w:val="bullet"/>
      <w:lvlText w:val="•"/>
      <w:lvlJc w:val="left"/>
      <w:pPr>
        <w:tabs>
          <w:tab w:val="num" w:pos="6120"/>
        </w:tabs>
        <w:ind w:left="6120" w:hanging="360"/>
      </w:pPr>
      <w:rPr>
        <w:rFonts w:ascii="Arial" w:hAnsi="Arial" w:hint="default"/>
      </w:rPr>
    </w:lvl>
  </w:abstractNum>
  <w:abstractNum w:abstractNumId="1">
    <w:nsid w:val="290435CE"/>
    <w:multiLevelType w:val="hybridMultilevel"/>
    <w:tmpl w:val="9A70602C"/>
    <w:lvl w:ilvl="0" w:tplc="0415000F">
      <w:start w:val="1"/>
      <w:numFmt w:val="decimal"/>
      <w:lvlText w:val="%1."/>
      <w:lvlJc w:val="left"/>
      <w:pPr>
        <w:tabs>
          <w:tab w:val="num" w:pos="360"/>
        </w:tabs>
        <w:ind w:left="360" w:hanging="360"/>
      </w:pPr>
    </w:lvl>
    <w:lvl w:ilvl="1" w:tplc="F38E54F2" w:tentative="1">
      <w:start w:val="1"/>
      <w:numFmt w:val="decimal"/>
      <w:lvlText w:val="%2."/>
      <w:lvlJc w:val="left"/>
      <w:pPr>
        <w:tabs>
          <w:tab w:val="num" w:pos="1440"/>
        </w:tabs>
        <w:ind w:left="1440" w:hanging="360"/>
      </w:pPr>
    </w:lvl>
    <w:lvl w:ilvl="2" w:tplc="5074F558" w:tentative="1">
      <w:start w:val="1"/>
      <w:numFmt w:val="decimal"/>
      <w:lvlText w:val="%3."/>
      <w:lvlJc w:val="left"/>
      <w:pPr>
        <w:tabs>
          <w:tab w:val="num" w:pos="2160"/>
        </w:tabs>
        <w:ind w:left="2160" w:hanging="360"/>
      </w:pPr>
    </w:lvl>
    <w:lvl w:ilvl="3" w:tplc="D472AA00" w:tentative="1">
      <w:start w:val="1"/>
      <w:numFmt w:val="decimal"/>
      <w:lvlText w:val="%4."/>
      <w:lvlJc w:val="left"/>
      <w:pPr>
        <w:tabs>
          <w:tab w:val="num" w:pos="2880"/>
        </w:tabs>
        <w:ind w:left="2880" w:hanging="360"/>
      </w:pPr>
    </w:lvl>
    <w:lvl w:ilvl="4" w:tplc="76284FF6" w:tentative="1">
      <w:start w:val="1"/>
      <w:numFmt w:val="decimal"/>
      <w:lvlText w:val="%5."/>
      <w:lvlJc w:val="left"/>
      <w:pPr>
        <w:tabs>
          <w:tab w:val="num" w:pos="3600"/>
        </w:tabs>
        <w:ind w:left="3600" w:hanging="360"/>
      </w:pPr>
    </w:lvl>
    <w:lvl w:ilvl="5" w:tplc="E6FA8CE0" w:tentative="1">
      <w:start w:val="1"/>
      <w:numFmt w:val="decimal"/>
      <w:lvlText w:val="%6."/>
      <w:lvlJc w:val="left"/>
      <w:pPr>
        <w:tabs>
          <w:tab w:val="num" w:pos="4320"/>
        </w:tabs>
        <w:ind w:left="4320" w:hanging="360"/>
      </w:pPr>
    </w:lvl>
    <w:lvl w:ilvl="6" w:tplc="DF22CAAC" w:tentative="1">
      <w:start w:val="1"/>
      <w:numFmt w:val="decimal"/>
      <w:lvlText w:val="%7."/>
      <w:lvlJc w:val="left"/>
      <w:pPr>
        <w:tabs>
          <w:tab w:val="num" w:pos="5040"/>
        </w:tabs>
        <w:ind w:left="5040" w:hanging="360"/>
      </w:pPr>
    </w:lvl>
    <w:lvl w:ilvl="7" w:tplc="DFE61352" w:tentative="1">
      <w:start w:val="1"/>
      <w:numFmt w:val="decimal"/>
      <w:lvlText w:val="%8."/>
      <w:lvlJc w:val="left"/>
      <w:pPr>
        <w:tabs>
          <w:tab w:val="num" w:pos="5760"/>
        </w:tabs>
        <w:ind w:left="5760" w:hanging="360"/>
      </w:pPr>
    </w:lvl>
    <w:lvl w:ilvl="8" w:tplc="9E083AA6" w:tentative="1">
      <w:start w:val="1"/>
      <w:numFmt w:val="decimal"/>
      <w:lvlText w:val="%9."/>
      <w:lvlJc w:val="left"/>
      <w:pPr>
        <w:tabs>
          <w:tab w:val="num" w:pos="6480"/>
        </w:tabs>
        <w:ind w:left="6480" w:hanging="360"/>
      </w:pPr>
    </w:lvl>
  </w:abstractNum>
  <w:abstractNum w:abstractNumId="2">
    <w:nsid w:val="486B079A"/>
    <w:multiLevelType w:val="hybridMultilevel"/>
    <w:tmpl w:val="A65EEE7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nsid w:val="77BE7489"/>
    <w:multiLevelType w:val="hybridMultilevel"/>
    <w:tmpl w:val="FA60CA9C"/>
    <w:lvl w:ilvl="0" w:tplc="705E4A0C">
      <w:start w:val="1"/>
      <w:numFmt w:val="bullet"/>
      <w:lvlText w:val="•"/>
      <w:lvlJc w:val="left"/>
      <w:pPr>
        <w:tabs>
          <w:tab w:val="num" w:pos="360"/>
        </w:tabs>
        <w:ind w:left="360" w:hanging="360"/>
      </w:pPr>
      <w:rPr>
        <w:rFonts w:ascii="Arial" w:hAnsi="Arial" w:hint="default"/>
      </w:rPr>
    </w:lvl>
    <w:lvl w:ilvl="1" w:tplc="23DC2640" w:tentative="1">
      <w:start w:val="1"/>
      <w:numFmt w:val="bullet"/>
      <w:lvlText w:val="•"/>
      <w:lvlJc w:val="left"/>
      <w:pPr>
        <w:tabs>
          <w:tab w:val="num" w:pos="1080"/>
        </w:tabs>
        <w:ind w:left="1080" w:hanging="360"/>
      </w:pPr>
      <w:rPr>
        <w:rFonts w:ascii="Arial" w:hAnsi="Arial" w:hint="default"/>
      </w:rPr>
    </w:lvl>
    <w:lvl w:ilvl="2" w:tplc="E3BA01A6" w:tentative="1">
      <w:start w:val="1"/>
      <w:numFmt w:val="bullet"/>
      <w:lvlText w:val="•"/>
      <w:lvlJc w:val="left"/>
      <w:pPr>
        <w:tabs>
          <w:tab w:val="num" w:pos="1800"/>
        </w:tabs>
        <w:ind w:left="1800" w:hanging="360"/>
      </w:pPr>
      <w:rPr>
        <w:rFonts w:ascii="Arial" w:hAnsi="Arial" w:hint="default"/>
      </w:rPr>
    </w:lvl>
    <w:lvl w:ilvl="3" w:tplc="8F148B2C" w:tentative="1">
      <w:start w:val="1"/>
      <w:numFmt w:val="bullet"/>
      <w:lvlText w:val="•"/>
      <w:lvlJc w:val="left"/>
      <w:pPr>
        <w:tabs>
          <w:tab w:val="num" w:pos="2520"/>
        </w:tabs>
        <w:ind w:left="2520" w:hanging="360"/>
      </w:pPr>
      <w:rPr>
        <w:rFonts w:ascii="Arial" w:hAnsi="Arial" w:hint="default"/>
      </w:rPr>
    </w:lvl>
    <w:lvl w:ilvl="4" w:tplc="B99C4C8A" w:tentative="1">
      <w:start w:val="1"/>
      <w:numFmt w:val="bullet"/>
      <w:lvlText w:val="•"/>
      <w:lvlJc w:val="left"/>
      <w:pPr>
        <w:tabs>
          <w:tab w:val="num" w:pos="3240"/>
        </w:tabs>
        <w:ind w:left="3240" w:hanging="360"/>
      </w:pPr>
      <w:rPr>
        <w:rFonts w:ascii="Arial" w:hAnsi="Arial" w:hint="default"/>
      </w:rPr>
    </w:lvl>
    <w:lvl w:ilvl="5" w:tplc="D008560E" w:tentative="1">
      <w:start w:val="1"/>
      <w:numFmt w:val="bullet"/>
      <w:lvlText w:val="•"/>
      <w:lvlJc w:val="left"/>
      <w:pPr>
        <w:tabs>
          <w:tab w:val="num" w:pos="3960"/>
        </w:tabs>
        <w:ind w:left="3960" w:hanging="360"/>
      </w:pPr>
      <w:rPr>
        <w:rFonts w:ascii="Arial" w:hAnsi="Arial" w:hint="default"/>
      </w:rPr>
    </w:lvl>
    <w:lvl w:ilvl="6" w:tplc="DFECEEDC" w:tentative="1">
      <w:start w:val="1"/>
      <w:numFmt w:val="bullet"/>
      <w:lvlText w:val="•"/>
      <w:lvlJc w:val="left"/>
      <w:pPr>
        <w:tabs>
          <w:tab w:val="num" w:pos="4680"/>
        </w:tabs>
        <w:ind w:left="4680" w:hanging="360"/>
      </w:pPr>
      <w:rPr>
        <w:rFonts w:ascii="Arial" w:hAnsi="Arial" w:hint="default"/>
      </w:rPr>
    </w:lvl>
    <w:lvl w:ilvl="7" w:tplc="EE38A292" w:tentative="1">
      <w:start w:val="1"/>
      <w:numFmt w:val="bullet"/>
      <w:lvlText w:val="•"/>
      <w:lvlJc w:val="left"/>
      <w:pPr>
        <w:tabs>
          <w:tab w:val="num" w:pos="5400"/>
        </w:tabs>
        <w:ind w:left="5400" w:hanging="360"/>
      </w:pPr>
      <w:rPr>
        <w:rFonts w:ascii="Arial" w:hAnsi="Arial" w:hint="default"/>
      </w:rPr>
    </w:lvl>
    <w:lvl w:ilvl="8" w:tplc="2E6432C2" w:tentative="1">
      <w:start w:val="1"/>
      <w:numFmt w:val="bullet"/>
      <w:lvlText w:val="•"/>
      <w:lvlJc w:val="left"/>
      <w:pPr>
        <w:tabs>
          <w:tab w:val="num" w:pos="6120"/>
        </w:tabs>
        <w:ind w:left="6120" w:hanging="360"/>
      </w:pPr>
      <w:rPr>
        <w:rFonts w:ascii="Arial" w:hAnsi="Arial" w:hint="default"/>
      </w:rPr>
    </w:lvl>
  </w:abstractNum>
  <w:abstractNum w:abstractNumId="4">
    <w:nsid w:val="7C48254D"/>
    <w:multiLevelType w:val="hybridMultilevel"/>
    <w:tmpl w:val="F3606E0E"/>
    <w:lvl w:ilvl="0" w:tplc="460A4F72">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93"/>
    <w:rsid w:val="009E6D93"/>
    <w:rsid w:val="00CC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6D9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6D93"/>
    <w:pPr>
      <w:ind w:left="720"/>
      <w:contextualSpacing/>
    </w:pPr>
  </w:style>
  <w:style w:type="character" w:styleId="Uwydatnienie">
    <w:name w:val="Emphasis"/>
    <w:basedOn w:val="Domylnaczcionkaakapitu"/>
    <w:uiPriority w:val="20"/>
    <w:qFormat/>
    <w:rsid w:val="009E6D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6D9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6D93"/>
    <w:pPr>
      <w:ind w:left="720"/>
      <w:contextualSpacing/>
    </w:pPr>
  </w:style>
  <w:style w:type="character" w:styleId="Uwydatnienie">
    <w:name w:val="Emphasis"/>
    <w:basedOn w:val="Domylnaczcionkaakapitu"/>
    <w:uiPriority w:val="20"/>
    <w:qFormat/>
    <w:rsid w:val="009E6D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7270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2019-01-21T13:43:00Z</dcterms:created>
  <dcterms:modified xsi:type="dcterms:W3CDTF">2019-01-21T13:44:00Z</dcterms:modified>
</cp:coreProperties>
</file>