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AECE" w14:textId="0D487C8E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552642BF" w:rsidR="0013702D" w:rsidRPr="00FC5A36" w:rsidRDefault="002962F9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2018/2019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10190DA8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2962F9">
        <w:rPr>
          <w:b/>
          <w:bCs/>
          <w:color w:val="000000" w:themeColor="text1"/>
        </w:rPr>
        <w:t>NIK DYDAKTYCZNY dla STUDENTÓW II</w:t>
      </w:r>
      <w:r w:rsidRPr="00FC5A36">
        <w:rPr>
          <w:b/>
          <w:bCs/>
          <w:color w:val="000000" w:themeColor="text1"/>
        </w:rPr>
        <w:t xml:space="preserve"> ROKU STUDIÓW</w:t>
      </w:r>
      <w:r w:rsidR="002962F9">
        <w:rPr>
          <w:b/>
          <w:bCs/>
          <w:color w:val="000000" w:themeColor="text1"/>
        </w:rPr>
        <w:t xml:space="preserve"> 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2449A12C" w14:textId="50F34E48" w:rsidR="0013702D" w:rsidRPr="00FC5A36" w:rsidRDefault="00F3622A" w:rsidP="00E846C5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1. NAZWA PRZEDMIOTU</w:t>
      </w:r>
      <w:r w:rsidR="0013702D" w:rsidRPr="00FC5A36">
        <w:rPr>
          <w:b/>
          <w:bCs/>
          <w:color w:val="000000" w:themeColor="text1"/>
        </w:rPr>
        <w:t xml:space="preserve"> :</w:t>
      </w:r>
      <w:r w:rsidR="002962F9">
        <w:rPr>
          <w:b/>
          <w:bCs/>
          <w:color w:val="000000" w:themeColor="text1"/>
        </w:rPr>
        <w:t xml:space="preserve"> IMMUNOLOGIA</w:t>
      </w:r>
    </w:p>
    <w:p w14:paraId="37B8E3BC" w14:textId="0D117772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3D49AB59" w14:textId="2B0E4BDB" w:rsidR="0013702D" w:rsidRDefault="002962F9" w:rsidP="002962F9">
            <w:pPr>
              <w:tabs>
                <w:tab w:val="left" w:pos="1120"/>
              </w:tabs>
              <w:jc w:val="center"/>
              <w:rPr>
                <w:lang w:eastAsia="en-US"/>
              </w:rPr>
            </w:pPr>
            <w:r>
              <w:t>Katedra Biotechnologii Medycznej, Zakład Immunologii Nowotworów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B43DA7">
      <w:pPr>
        <w:spacing w:line="360" w:lineRule="auto"/>
        <w:rPr>
          <w:b/>
          <w:bCs/>
          <w:color w:val="003300"/>
        </w:rPr>
      </w:pPr>
    </w:p>
    <w:p w14:paraId="3AC81379" w14:textId="163AB4DF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F3622A">
        <w:rPr>
          <w:b/>
          <w:bCs/>
          <w:color w:val="000000" w:themeColor="text1"/>
        </w:rPr>
        <w:t>koordynatora przedmiotu</w:t>
      </w:r>
      <w:r w:rsidR="004C774E" w:rsidRPr="00FC5A36">
        <w:rPr>
          <w:b/>
          <w:bCs/>
          <w:color w:val="000000" w:themeColor="text1"/>
        </w:rPr>
        <w:t>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F3622A" w14:paraId="3B728AC0" w14:textId="77777777" w:rsidTr="00E846C5">
        <w:tc>
          <w:tcPr>
            <w:tcW w:w="9000" w:type="dxa"/>
          </w:tcPr>
          <w:p w14:paraId="31BC3E8E" w14:textId="1DB8AA6D" w:rsidR="002962F9" w:rsidRPr="00F3622A" w:rsidRDefault="0013702D" w:rsidP="002962F9">
            <w:r w:rsidRPr="00F3622A">
              <w:rPr>
                <w:b/>
                <w:bCs/>
                <w:lang w:eastAsia="en-US"/>
              </w:rPr>
              <w:t>Adres:</w:t>
            </w:r>
            <w:r w:rsidR="002962F9" w:rsidRPr="00F3622A">
              <w:t xml:space="preserve"> ul. Garbary 15, 61-866 Poznań (w Wielkopolskim Centrum Onkologii, V p.)</w:t>
            </w:r>
          </w:p>
          <w:p w14:paraId="289FD95B" w14:textId="6B3DBD96" w:rsidR="0013702D" w:rsidRPr="00F3622A" w:rsidRDefault="002962F9" w:rsidP="002962F9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 w:rsidRPr="00F3622A">
              <w:t>ul. Rokietnicka 8, 60-806 Poznań (Centrum Biologii Medycznej, II p.)</w:t>
            </w:r>
          </w:p>
          <w:p w14:paraId="17624E14" w14:textId="322A0DB0" w:rsidR="0013702D" w:rsidRPr="00F3622A" w:rsidRDefault="002962F9" w:rsidP="002962F9">
            <w:pPr>
              <w:spacing w:line="360" w:lineRule="auto"/>
              <w:rPr>
                <w:b/>
                <w:bCs/>
                <w:lang w:eastAsia="en-US"/>
              </w:rPr>
            </w:pPr>
            <w:r w:rsidRPr="00F3622A">
              <w:rPr>
                <w:b/>
                <w:bCs/>
                <w:lang w:eastAsia="en-US"/>
              </w:rPr>
              <w:t xml:space="preserve">Tel.: </w:t>
            </w:r>
            <w:r w:rsidRPr="00F3622A">
              <w:t>61 8850665 (WCO), 61 8547633 (CBM)</w:t>
            </w:r>
          </w:p>
          <w:p w14:paraId="315A1CD3" w14:textId="74107BC5" w:rsidR="0013702D" w:rsidRPr="00F3622A" w:rsidRDefault="0013702D" w:rsidP="002962F9">
            <w:pPr>
              <w:spacing w:line="360" w:lineRule="auto"/>
              <w:rPr>
                <w:b/>
                <w:bCs/>
                <w:lang w:eastAsia="en-US"/>
              </w:rPr>
            </w:pPr>
            <w:r w:rsidRPr="00F3622A">
              <w:rPr>
                <w:b/>
                <w:bCs/>
                <w:lang w:eastAsia="en-US"/>
              </w:rPr>
              <w:t>Strona WWW</w:t>
            </w:r>
            <w:r w:rsidR="002962F9" w:rsidRPr="00F3622A">
              <w:rPr>
                <w:b/>
                <w:bCs/>
                <w:lang w:eastAsia="en-US"/>
              </w:rPr>
              <w:t xml:space="preserve">: </w:t>
            </w:r>
            <w:hyperlink r:id="rId9" w:tgtFrame="_blank" w:history="1">
              <w:r w:rsidR="002962F9" w:rsidRPr="00F3622A">
                <w:rPr>
                  <w:rStyle w:val="Hipercze"/>
                  <w:color w:val="30C4F4"/>
                  <w:shd w:val="clear" w:color="auto" w:fill="FFFFFF"/>
                </w:rPr>
                <w:t>kbm.ump.edu.pl</w:t>
              </w:r>
            </w:hyperlink>
          </w:p>
          <w:p w14:paraId="69109009" w14:textId="645FC780" w:rsidR="0013702D" w:rsidRPr="00F3622A" w:rsidRDefault="0013702D" w:rsidP="002962F9">
            <w:pPr>
              <w:rPr>
                <w:lang w:val="en-US"/>
              </w:rPr>
            </w:pPr>
            <w:r w:rsidRPr="00F3622A">
              <w:rPr>
                <w:b/>
                <w:bCs/>
                <w:lang w:eastAsia="en-US"/>
              </w:rPr>
              <w:t>E-mail</w:t>
            </w:r>
            <w:r w:rsidR="002962F9" w:rsidRPr="00F3622A">
              <w:rPr>
                <w:b/>
                <w:bCs/>
                <w:lang w:eastAsia="en-US"/>
              </w:rPr>
              <w:t xml:space="preserve">: </w:t>
            </w:r>
            <w:hyperlink r:id="rId10" w:history="1">
              <w:r w:rsidR="00F3622A" w:rsidRPr="009275AA">
                <w:rPr>
                  <w:rStyle w:val="Hipercze"/>
                  <w:lang w:val="en-US"/>
                </w:rPr>
                <w:t>andrzej.mackiewicz@wco.pl</w:t>
              </w:r>
            </w:hyperlink>
          </w:p>
        </w:tc>
      </w:tr>
    </w:tbl>
    <w:p w14:paraId="3441CDA7" w14:textId="77777777" w:rsidR="0013702D" w:rsidRPr="00F3622A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5B7B5AB4" w14:textId="77777777" w:rsidR="0013702D" w:rsidRPr="00F3622A" w:rsidRDefault="0013702D" w:rsidP="00E846C5">
      <w:pPr>
        <w:spacing w:line="360" w:lineRule="auto"/>
        <w:ind w:left="360"/>
        <w:rPr>
          <w:color w:val="003300"/>
        </w:rPr>
      </w:pPr>
      <w:r w:rsidRPr="00F3622A">
        <w:rPr>
          <w:b/>
          <w:bCs/>
          <w:color w:val="003300"/>
        </w:rPr>
        <w:t>4. Kierownik jednostki</w:t>
      </w:r>
      <w:r w:rsidRPr="00F3622A"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F3622A" w14:paraId="71276C31" w14:textId="77777777" w:rsidTr="00E846C5">
        <w:tc>
          <w:tcPr>
            <w:tcW w:w="9000" w:type="dxa"/>
          </w:tcPr>
          <w:p w14:paraId="26539FD5" w14:textId="181F32E4" w:rsidR="0013702D" w:rsidRPr="00F3622A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 w:rsidRPr="00F3622A">
              <w:t>Nazwisko i imię:</w:t>
            </w:r>
            <w:r w:rsidR="002962F9" w:rsidRPr="00F3622A">
              <w:t xml:space="preserve"> </w:t>
            </w:r>
            <w:r w:rsidR="002962F9" w:rsidRPr="00F3622A">
              <w:rPr>
                <w:b/>
              </w:rPr>
              <w:t>Prof. dr hab. n. med. Andrzej Mackiewicz</w:t>
            </w:r>
          </w:p>
        </w:tc>
      </w:tr>
    </w:tbl>
    <w:p w14:paraId="106E8E63" w14:textId="77777777" w:rsidR="0013702D" w:rsidRPr="00F3622A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2240C5F3" w:rsidR="004C774E" w:rsidRPr="00F3622A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 w:rsidRPr="00F3622A">
        <w:rPr>
          <w:b/>
          <w:bCs/>
          <w:color w:val="003300"/>
        </w:rPr>
        <w:t xml:space="preserve">5. Koordynator </w:t>
      </w:r>
      <w:r w:rsidR="001E6CDB">
        <w:rPr>
          <w:b/>
          <w:bCs/>
          <w:color w:val="000000" w:themeColor="text1"/>
        </w:rPr>
        <w:t>przedmiotu:</w:t>
      </w:r>
      <w:r w:rsidRPr="00F3622A">
        <w:rPr>
          <w:b/>
          <w:bCs/>
          <w:color w:val="000000" w:themeColor="text1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RPr="00F3622A" w14:paraId="05E91248" w14:textId="77777777" w:rsidTr="00282130">
        <w:tc>
          <w:tcPr>
            <w:tcW w:w="9000" w:type="dxa"/>
          </w:tcPr>
          <w:p w14:paraId="030978DD" w14:textId="20132279" w:rsidR="004C774E" w:rsidRPr="00F3622A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 w:rsidRPr="00F3622A">
              <w:rPr>
                <w:b/>
                <w:bCs/>
                <w:lang w:eastAsia="en-US"/>
              </w:rPr>
              <w:t>Nazwisko i imię:</w:t>
            </w:r>
            <w:r w:rsidR="002962F9" w:rsidRPr="00F3622A">
              <w:rPr>
                <w:b/>
                <w:bCs/>
                <w:lang w:eastAsia="en-US"/>
              </w:rPr>
              <w:t xml:space="preserve"> </w:t>
            </w:r>
            <w:r w:rsidR="002962F9" w:rsidRPr="00F3622A">
              <w:rPr>
                <w:bCs/>
                <w:lang w:eastAsia="en-US"/>
              </w:rPr>
              <w:t>Dr hab. n. med. Dariusz Iżycki</w:t>
            </w:r>
          </w:p>
          <w:p w14:paraId="1D6E6891" w14:textId="6046D622" w:rsidR="004C774E" w:rsidRPr="00F3622A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F3622A">
              <w:rPr>
                <w:b/>
                <w:bCs/>
                <w:lang w:eastAsia="en-US"/>
              </w:rPr>
              <w:t>Tel. kontaktowy:</w:t>
            </w:r>
            <w:r w:rsidR="002962F9" w:rsidRPr="00F3622A">
              <w:t xml:space="preserve"> 61 8850665</w:t>
            </w:r>
          </w:p>
          <w:p w14:paraId="2FAE3196" w14:textId="3BFA3E9F" w:rsidR="004C774E" w:rsidRPr="00F3622A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F3622A">
              <w:rPr>
                <w:b/>
                <w:bCs/>
                <w:lang w:eastAsia="en-US"/>
              </w:rPr>
              <w:t>E-mail:</w:t>
            </w:r>
            <w:r w:rsidR="002962F9" w:rsidRPr="00F3622A">
              <w:t xml:space="preserve"> </w:t>
            </w:r>
            <w:hyperlink r:id="rId11" w:history="1">
              <w:r w:rsidR="002962F9" w:rsidRPr="00F3622A">
                <w:rPr>
                  <w:rStyle w:val="Hipercze"/>
                </w:rPr>
                <w:t>dizycki@gmail.com</w:t>
              </w:r>
            </w:hyperlink>
          </w:p>
          <w:p w14:paraId="48B106BB" w14:textId="645FDFD6" w:rsidR="004C774E" w:rsidRPr="00F3622A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F3622A">
              <w:rPr>
                <w:b/>
                <w:bCs/>
                <w:lang w:eastAsia="en-US"/>
              </w:rPr>
              <w:t>Osoba zastępująca</w:t>
            </w:r>
            <w:r w:rsidR="002962F9" w:rsidRPr="00F3622A">
              <w:rPr>
                <w:b/>
                <w:bCs/>
                <w:lang w:eastAsia="en-US"/>
              </w:rPr>
              <w:t xml:space="preserve">: </w:t>
            </w:r>
            <w:r w:rsidR="002962F9" w:rsidRPr="00F3622A">
              <w:rPr>
                <w:bCs/>
                <w:lang w:eastAsia="en-US"/>
              </w:rPr>
              <w:t>Dr n. med. Urszula Kazimierczak</w:t>
            </w:r>
          </w:p>
          <w:p w14:paraId="4A5C1976" w14:textId="3E3F01A9" w:rsidR="004C774E" w:rsidRPr="00F3622A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 w:rsidRPr="00F3622A">
              <w:rPr>
                <w:b/>
                <w:bCs/>
                <w:lang w:eastAsia="en-US"/>
              </w:rPr>
              <w:t>Tel. kontaktowy:</w:t>
            </w:r>
            <w:r w:rsidR="002962F9" w:rsidRPr="00F3622A">
              <w:rPr>
                <w:b/>
                <w:bCs/>
                <w:lang w:eastAsia="en-US"/>
              </w:rPr>
              <w:t xml:space="preserve"> </w:t>
            </w:r>
            <w:r w:rsidR="00F3622A" w:rsidRPr="00F3622A">
              <w:rPr>
                <w:bCs/>
                <w:lang w:eastAsia="en-US"/>
              </w:rPr>
              <w:t>61 8850 667</w:t>
            </w:r>
          </w:p>
          <w:p w14:paraId="4A49A26D" w14:textId="2C54A948" w:rsidR="004C774E" w:rsidRPr="00F3622A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F3622A">
              <w:rPr>
                <w:b/>
                <w:bCs/>
                <w:lang w:eastAsia="en-US"/>
              </w:rPr>
              <w:t>E-mail:</w:t>
            </w:r>
            <w:r w:rsidR="00F3622A" w:rsidRPr="00F3622A">
              <w:rPr>
                <w:b/>
                <w:bCs/>
                <w:lang w:eastAsia="en-US"/>
              </w:rPr>
              <w:t xml:space="preserve"> </w:t>
            </w:r>
            <w:hyperlink r:id="rId12" w:history="1">
              <w:r w:rsidR="00F3622A" w:rsidRPr="009275AA">
                <w:rPr>
                  <w:rStyle w:val="Hipercze"/>
                  <w:bCs/>
                  <w:lang w:eastAsia="en-US"/>
                </w:rPr>
                <w:t>ukazimierczak@gmail.com</w:t>
              </w:r>
            </w:hyperlink>
          </w:p>
        </w:tc>
      </w:tr>
    </w:tbl>
    <w:p w14:paraId="2A8458AE" w14:textId="72DA52AB" w:rsidR="0013702D" w:rsidRPr="008A6CC4" w:rsidRDefault="00F3622A" w:rsidP="00F3622A">
      <w:pPr>
        <w:spacing w:line="360" w:lineRule="auto"/>
        <w:rPr>
          <w:color w:val="385623"/>
        </w:rPr>
      </w:pPr>
      <w:r>
        <w:rPr>
          <w:b/>
          <w:bCs/>
        </w:rPr>
        <w:t xml:space="preserve">     </w:t>
      </w:r>
      <w:r w:rsidR="00D37C1F">
        <w:rPr>
          <w:b/>
          <w:bCs/>
          <w:color w:val="385623"/>
        </w:rPr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 xml:space="preserve">przedmiot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58522027" w14:textId="77777777" w:rsidTr="00E846C5">
        <w:tc>
          <w:tcPr>
            <w:tcW w:w="9000" w:type="dxa"/>
          </w:tcPr>
          <w:p w14:paraId="324AC8A7" w14:textId="5549D200" w:rsidR="0013702D" w:rsidRPr="00F3622A" w:rsidRDefault="0013702D" w:rsidP="00F3622A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 w:rsidRPr="003F4142">
              <w:t>Nazwisko i imię</w:t>
            </w:r>
            <w:r>
              <w:t>:</w:t>
            </w:r>
            <w:r w:rsidR="00F3622A" w:rsidRPr="00F3622A">
              <w:rPr>
                <w:bCs/>
                <w:lang w:eastAsia="en-US"/>
              </w:rPr>
              <w:t xml:space="preserve"> Dr hab. n. med. Dariusz Iżycki</w:t>
            </w:r>
          </w:p>
          <w:p w14:paraId="7A008668" w14:textId="6D2E32D5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F3622A" w:rsidRPr="003F4142">
              <w:t>K</w:t>
            </w:r>
            <w:r w:rsidRPr="003F4142">
              <w:t>ontaktowy</w:t>
            </w:r>
            <w:r w:rsidR="00F3622A">
              <w:t xml:space="preserve">: </w:t>
            </w:r>
            <w:r w:rsidR="00F3622A" w:rsidRPr="00F3622A">
              <w:t>61 8850665</w:t>
            </w:r>
          </w:p>
          <w:p w14:paraId="01313886" w14:textId="401848BF" w:rsidR="0013702D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</w:rPr>
            </w:pPr>
            <w:r>
              <w:t>E</w:t>
            </w:r>
            <w:r w:rsidRPr="003F4142">
              <w:t>-mail</w:t>
            </w:r>
            <w:r>
              <w:t>:</w:t>
            </w:r>
            <w:r w:rsidR="00F3622A">
              <w:t xml:space="preserve"> </w:t>
            </w:r>
            <w:hyperlink r:id="rId13" w:history="1">
              <w:r w:rsidR="00F3622A" w:rsidRPr="00F3622A">
                <w:rPr>
                  <w:rStyle w:val="Hipercze"/>
                </w:rPr>
                <w:t>dizycki@gmail.com</w:t>
              </w:r>
            </w:hyperlink>
          </w:p>
        </w:tc>
      </w:tr>
    </w:tbl>
    <w:p w14:paraId="15E55FBF" w14:textId="516F2DA2" w:rsidR="0013702D" w:rsidRDefault="0013702D" w:rsidP="00E846C5">
      <w:pPr>
        <w:tabs>
          <w:tab w:val="num" w:pos="0"/>
        </w:tabs>
        <w:jc w:val="both"/>
        <w:rPr>
          <w:b/>
          <w:bCs/>
          <w:color w:val="003300"/>
        </w:rPr>
      </w:pPr>
    </w:p>
    <w:p w14:paraId="31367439" w14:textId="77777777" w:rsidR="00F3622A" w:rsidRDefault="00F3622A" w:rsidP="00E846C5">
      <w:pPr>
        <w:tabs>
          <w:tab w:val="num" w:pos="0"/>
        </w:tabs>
        <w:jc w:val="both"/>
        <w:rPr>
          <w:b/>
          <w:bCs/>
        </w:rPr>
      </w:pPr>
    </w:p>
    <w:p w14:paraId="1B96E899" w14:textId="3B1E3AC8" w:rsidR="0013702D" w:rsidRDefault="00F3622A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lastRenderedPageBreak/>
        <w:t xml:space="preserve">   </w:t>
      </w:r>
      <w:r w:rsidR="0013702D">
        <w:rPr>
          <w:b/>
          <w:bCs/>
          <w:color w:val="003300"/>
        </w:rPr>
        <w:t xml:space="preserve"> 7. Miejsce przedmiotu w programie studiów:</w:t>
      </w:r>
    </w:p>
    <w:p w14:paraId="0765F0A1" w14:textId="62E29E42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F3622A">
        <w:rPr>
          <w:b/>
          <w:bCs/>
        </w:rPr>
        <w:t xml:space="preserve"> II</w:t>
      </w:r>
    </w:p>
    <w:p w14:paraId="31B72586" w14:textId="09971743" w:rsidR="00D37C1F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AA5364">
        <w:rPr>
          <w:b/>
          <w:bCs/>
        </w:rPr>
        <w:t xml:space="preserve"> IV</w:t>
      </w:r>
    </w:p>
    <w:p w14:paraId="04640B68" w14:textId="77777777" w:rsidR="00B43DA7" w:rsidRPr="00B43DA7" w:rsidRDefault="00B43DA7" w:rsidP="00E846C5">
      <w:pPr>
        <w:spacing w:line="360" w:lineRule="auto"/>
        <w:rPr>
          <w:b/>
          <w:bCs/>
        </w:rPr>
      </w:pPr>
    </w:p>
    <w:p w14:paraId="5A2754F4" w14:textId="4B0BE5E5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 w:rsidR="00F3622A">
        <w:rPr>
          <w:b/>
          <w:color w:val="003300"/>
        </w:rPr>
        <w:t>Liczba godzin ogółem</w:t>
      </w:r>
      <w:r>
        <w:rPr>
          <w:b/>
          <w:color w:val="003300"/>
        </w:rPr>
        <w:t>:</w:t>
      </w:r>
      <w:r w:rsidR="00F3622A">
        <w:rPr>
          <w:b/>
          <w:color w:val="003300"/>
        </w:rPr>
        <w:t xml:space="preserve"> 50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F3622A">
        <w:rPr>
          <w:b/>
          <w:color w:val="003300"/>
        </w:rPr>
        <w:t xml:space="preserve"> 3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091ED6FC" w:rsidR="0013702D" w:rsidRDefault="00F362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Katedra Biotechnologii Medycznej</w:t>
            </w:r>
          </w:p>
        </w:tc>
        <w:tc>
          <w:tcPr>
            <w:tcW w:w="815" w:type="dxa"/>
          </w:tcPr>
          <w:p w14:paraId="70EBFF47" w14:textId="1BDF32D4" w:rsidR="0013702D" w:rsidRDefault="00F362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69" w:type="dxa"/>
          </w:tcPr>
          <w:p w14:paraId="28AD28E0" w14:textId="28259B35" w:rsidR="0013702D" w:rsidRDefault="00F362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1" w:type="dxa"/>
          </w:tcPr>
          <w:p w14:paraId="1605EA60" w14:textId="104FC3D8" w:rsidR="0013702D" w:rsidRDefault="00F362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24" w:type="dxa"/>
          </w:tcPr>
          <w:p w14:paraId="7BFD25E9" w14:textId="58DAD815" w:rsidR="0013702D" w:rsidRDefault="00F362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0A48776F" w:rsidR="0013702D" w:rsidRDefault="00F3622A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15</w:t>
            </w:r>
          </w:p>
        </w:tc>
        <w:tc>
          <w:tcPr>
            <w:tcW w:w="669" w:type="dxa"/>
          </w:tcPr>
          <w:p w14:paraId="480B4A9B" w14:textId="0BA0DAF3" w:rsidR="0013702D" w:rsidRDefault="00F3622A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10</w:t>
            </w:r>
          </w:p>
        </w:tc>
        <w:tc>
          <w:tcPr>
            <w:tcW w:w="651" w:type="dxa"/>
          </w:tcPr>
          <w:p w14:paraId="7439F399" w14:textId="5CFB05AB" w:rsidR="0013702D" w:rsidRDefault="00F3622A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25</w:t>
            </w:r>
          </w:p>
        </w:tc>
        <w:tc>
          <w:tcPr>
            <w:tcW w:w="1124" w:type="dxa"/>
          </w:tcPr>
          <w:p w14:paraId="6E4325DF" w14:textId="7009AC7C" w:rsidR="0013702D" w:rsidRDefault="00F3622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</w:t>
            </w:r>
          </w:p>
        </w:tc>
      </w:tr>
    </w:tbl>
    <w:p w14:paraId="4C4E4541" w14:textId="06058B02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537"/>
        <w:gridCol w:w="3260"/>
        <w:gridCol w:w="2375"/>
        <w:gridCol w:w="1793"/>
      </w:tblGrid>
      <w:tr w:rsidR="0013702D" w14:paraId="78AC2BF2" w14:textId="77777777" w:rsidTr="004C774E"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9A8D2B" w14:textId="5BE4B4F7" w:rsidR="0013702D" w:rsidRDefault="00F3622A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099AB4E4" w:rsidR="0013702D" w:rsidRDefault="00F3622A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Immunologia</w:t>
            </w:r>
          </w:p>
        </w:tc>
      </w:tr>
      <w:tr w:rsidR="0013702D" w14:paraId="62FFE30E" w14:textId="77777777" w:rsidTr="004C774E">
        <w:tc>
          <w:tcPr>
            <w:tcW w:w="164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76391B8A" w:rsidR="0013702D" w:rsidRDefault="00F3622A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11DA1345" w:rsidR="0013702D" w:rsidRDefault="00F3622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05EAE8B8" w:rsidR="0013702D" w:rsidRDefault="00B04C0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studia magisterskie, II rok</w:t>
            </w:r>
          </w:p>
        </w:tc>
      </w:tr>
      <w:tr w:rsidR="0013702D" w14:paraId="3077AA99" w14:textId="77777777" w:rsidTr="004C774E">
        <w:tc>
          <w:tcPr>
            <w:tcW w:w="164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65BA41E7" w:rsidR="0013702D" w:rsidRDefault="00B04C0E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9D886DF" w14:textId="1F38A990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</w:p>
        </w:tc>
        <w:tc>
          <w:tcPr>
            <w:tcW w:w="7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073EA4DA" w:rsidR="0013702D" w:rsidRDefault="00B04C0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6A5A3D1" w14:textId="4CB9BEAC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</w:p>
        </w:tc>
        <w:tc>
          <w:tcPr>
            <w:tcW w:w="7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77777777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Pr="00B04C0E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777777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 w:rsidRPr="00B04C0E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 w:rsidRPr="00B04C0E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51629" w14:paraId="50FD57C4" w14:textId="77777777" w:rsidTr="00D86932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3CB0E8F" w14:textId="77777777" w:rsidR="00D51629" w:rsidRPr="00A269CE" w:rsidRDefault="00D51629" w:rsidP="00D86932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5FFA6115" w14:textId="77777777" w:rsidR="00D51629" w:rsidRPr="00A269CE" w:rsidRDefault="00D51629" w:rsidP="00D86932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236B5A5E" w14:textId="77777777" w:rsidR="00D51629" w:rsidRDefault="00D51629" w:rsidP="00D86932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685AA" w14:textId="77777777" w:rsidR="00D51629" w:rsidRDefault="00D51629" w:rsidP="00D86932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25F2A978" w14:textId="77777777" w:rsidR="00D51629" w:rsidRDefault="00D51629" w:rsidP="00D86932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5C2AD8" w14:textId="15B434BB" w:rsidR="00D51629" w:rsidRDefault="00D51629" w:rsidP="00D86932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Odniesienie do charakterystyki drugiego stopnia Polskiej Ramy Kwalifikacji</w:t>
            </w:r>
          </w:p>
          <w:p w14:paraId="0FE4A0E6" w14:textId="77777777" w:rsidR="00D51629" w:rsidRDefault="00D51629" w:rsidP="00D86932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D51629" w14:paraId="341DCCF6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1CED98" w14:textId="77777777" w:rsidR="00D51629" w:rsidRDefault="00D51629" w:rsidP="00D86932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3AF91" w14:textId="77777777" w:rsidR="00D51629" w:rsidRDefault="00D51629" w:rsidP="00D86932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03353A" w14:textId="77777777" w:rsidR="00D51629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51629" w:rsidRPr="005D745F" w14:paraId="50212E08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764CB981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B.W21.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8757648" w14:textId="77777777" w:rsidR="00D51629" w:rsidRPr="005D745F" w:rsidRDefault="00D51629" w:rsidP="00D8693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zna sposoby komunikacji między komórkami, a także między komórką a macierzą zewnątrzkomórkową oraz szlaki przekazywania sygnałów w komórce i przykłady zaburzeń w tych procesach prowadzące do rozwoju nowotworów i innych chorób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D47A210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17F14568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23EFCA2A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B.W22.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2B7E41" w14:textId="77777777" w:rsidR="00D51629" w:rsidRPr="005D745F" w:rsidRDefault="00D51629" w:rsidP="00D8693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 xml:space="preserve">zna procesy takie jak: cykl komórkowy, proliferacja, różnicowanie i </w:t>
            </w:r>
            <w:r w:rsidRPr="005D745F">
              <w:rPr>
                <w:color w:val="000000"/>
                <w:sz w:val="20"/>
                <w:szCs w:val="20"/>
              </w:rPr>
              <w:lastRenderedPageBreak/>
              <w:t>starzenie się komórek, apoptoza i nekroza oraz ich znaczenie dla funkcjonowania organizmu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C976B04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lastRenderedPageBreak/>
              <w:t>P7S_WG</w:t>
            </w:r>
          </w:p>
        </w:tc>
      </w:tr>
      <w:tr w:rsidR="00D51629" w:rsidRPr="005D745F" w14:paraId="4743F776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1E006F2A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lastRenderedPageBreak/>
              <w:t>B.W34.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B56392" w14:textId="77777777" w:rsidR="00D51629" w:rsidRPr="005D745F" w:rsidRDefault="00D51629" w:rsidP="00D8693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zna zasady prowadzenia badań naukowych, obserwacyjnych i doświadczalnych oraz badań in vitro służących rozwojowi medycyny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6B98C30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P7S_WK</w:t>
            </w:r>
          </w:p>
        </w:tc>
      </w:tr>
      <w:tr w:rsidR="00D51629" w:rsidRPr="005D745F" w14:paraId="7033B891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1579449C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C.W6.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49C6DF" w14:textId="77777777" w:rsidR="00D51629" w:rsidRPr="005D745F" w:rsidRDefault="00D51629" w:rsidP="00D8693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zna uwarunkowania genetyczne grup krwi człowieka oraz konfliktu serologicznego w układzie Rh;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15F4DAC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534A1B38" w14:textId="77777777" w:rsidTr="00D86932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0B3C80E6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C.W19.</w:t>
            </w:r>
          </w:p>
        </w:tc>
        <w:tc>
          <w:tcPr>
            <w:tcW w:w="61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29B286" w14:textId="77777777" w:rsidR="00D51629" w:rsidRPr="005D745F" w:rsidRDefault="00D51629" w:rsidP="00D86932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 podstawy dezynfekcji, sterylizacji i postępowania aseptycznego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B296A4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51629" w:rsidRPr="005D745F" w14:paraId="106A9BAE" w14:textId="77777777" w:rsidTr="00D86932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5D03271B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C.W20.</w:t>
            </w:r>
          </w:p>
        </w:tc>
        <w:tc>
          <w:tcPr>
            <w:tcW w:w="61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D0028FF" w14:textId="77777777" w:rsidR="00D51629" w:rsidRPr="005D745F" w:rsidRDefault="00D51629" w:rsidP="00D86932">
            <w:pPr>
              <w:pStyle w:val="NoSpacing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7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 podstawy rozwoju oraz mechanizmy działania układu odpornościowego, w tym swoiste i nieswoiste mechanizmy odporności humoralnej i komórkowej;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A31B7F2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7DF17ABA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64E310BD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C.W21.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061B24" w14:textId="77777777" w:rsidR="00D51629" w:rsidRPr="005D745F" w:rsidRDefault="00D51629" w:rsidP="00D86932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opisuje główny układ zgodności tkankowej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34C3747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45655B12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33FE2CE7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C.W22.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90D7329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zna typy reakcji nadwrażliwości, rodzaje niedoborów odporności oraz podstawy immunomodulacji;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407AC2F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0F54F51C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5C638CC4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C.W23.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1C2320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zna zagadnienia z zakresu immunologii nowotworów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C7C805B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44DFD219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494BE2AD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C.W24.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F43E6D4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określa genetyczne podstawy doboru dawcy i biorcy oraz podstawy immunologii transplantacyjnej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AFB4701" w14:textId="77777777" w:rsidR="00D51629" w:rsidRPr="005D745F" w:rsidRDefault="00D51629" w:rsidP="00D8693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2B64D64E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598BCFBD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C.W26.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3AD6A83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zna podstawowe mechanizmy uszkodzenia komórek i tkanek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EDC102A" w14:textId="77777777" w:rsidR="00D51629" w:rsidRPr="005D745F" w:rsidRDefault="00D51629" w:rsidP="00D86932">
            <w:pPr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0FC3B274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567E26E8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C.W41.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0A77171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zna podstawowe kierunki rozwoju terapii, w szczególności możliwości terapii komórkowej oraz terapii genowej i celowanej w określonych chorobach;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B7C9C0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51629" w:rsidRPr="005D745F" w14:paraId="06E2123E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A1CE9A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C835" w14:textId="77777777" w:rsidR="00D51629" w:rsidRPr="005D745F" w:rsidRDefault="00D51629" w:rsidP="00D86932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D745F"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06010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51629" w:rsidRPr="005D745F" w14:paraId="0795C011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29E2927E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A.U1.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1AA790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obsługuje mikroskop optyczny – także w zakresie korzystania z immersji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D9B3D91" w14:textId="77777777" w:rsidR="00D51629" w:rsidRPr="005D745F" w:rsidRDefault="00D51629" w:rsidP="00D869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745F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D51629" w:rsidRPr="005D745F" w14:paraId="44B0BE29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16F5FE3B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B.U11.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26DDCB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korzysta z baz danych, w tym internetowych, i wyszukuje potrzebną informację za pomocą dostępnych narzędzi;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C17B612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D51629" w:rsidRPr="005D745F" w14:paraId="339A884E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4B7BFAC5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50232B" w14:textId="77777777" w:rsidR="00D51629" w:rsidRPr="005D745F" w:rsidRDefault="00D51629" w:rsidP="00D86932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5D745F">
              <w:rPr>
                <w:b/>
                <w:bCs/>
                <w:color w:val="000000"/>
                <w:sz w:val="20"/>
                <w:szCs w:val="20"/>
              </w:rPr>
              <w:t xml:space="preserve">KOMPETENCJE SPOŁECZNE </w:t>
            </w:r>
            <w:r w:rsidRPr="005D745F">
              <w:rPr>
                <w:b/>
                <w:sz w:val="20"/>
                <w:szCs w:val="20"/>
                <w:lang w:eastAsia="en-US"/>
              </w:rPr>
              <w:t>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3620D07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</w:p>
        </w:tc>
      </w:tr>
      <w:tr w:rsidR="00D51629" w:rsidRPr="005D745F" w14:paraId="4B6DBE0E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6BEC1B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K03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DA47F" w14:textId="77777777" w:rsidR="00D51629" w:rsidRPr="005D745F" w:rsidRDefault="00D51629" w:rsidP="00D86932">
            <w:pPr>
              <w:snapToGrid w:val="0"/>
              <w:spacing w:line="254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2AC6A10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P7S_KK</w:t>
            </w:r>
          </w:p>
        </w:tc>
      </w:tr>
      <w:tr w:rsidR="00D51629" w:rsidRPr="005D745F" w14:paraId="50113753" w14:textId="77777777" w:rsidTr="00D8693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C20FB8C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K09</w:t>
            </w:r>
          </w:p>
        </w:tc>
        <w:tc>
          <w:tcPr>
            <w:tcW w:w="6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F093F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Przestrzega zasad bezpieczeństwa  i higieny pracy oraz ergonomii.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F27221" w14:textId="77777777" w:rsidR="00D51629" w:rsidRPr="005D745F" w:rsidRDefault="00D51629" w:rsidP="00D86932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5D745F">
              <w:rPr>
                <w:color w:val="000000"/>
                <w:sz w:val="20"/>
                <w:szCs w:val="20"/>
              </w:rPr>
              <w:t>P7S_UO</w:t>
            </w:r>
          </w:p>
        </w:tc>
      </w:tr>
    </w:tbl>
    <w:p w14:paraId="38C7BE37" w14:textId="11E42167" w:rsidR="007A6A1E" w:rsidRDefault="007A6A1E" w:rsidP="00E846C5">
      <w:pPr>
        <w:autoSpaceDE w:val="0"/>
      </w:pPr>
    </w:p>
    <w:tbl>
      <w:tblPr>
        <w:tblW w:w="9214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286"/>
      </w:tblGrid>
      <w:tr w:rsidR="0013702D" w14:paraId="73D58577" w14:textId="77777777" w:rsidTr="008F563E">
        <w:trPr>
          <w:trHeight w:val="361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2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46A87990" w:rsidR="0013702D" w:rsidRDefault="00B04C0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</w:tbl>
    <w:p w14:paraId="56D703E6" w14:textId="335A3596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6C687C5" w14:textId="77777777" w:rsidR="008F563E" w:rsidRDefault="008F563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EB5656B" w14:textId="373BF785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10. </w:t>
      </w:r>
      <w:r w:rsidR="00BE4DDF" w:rsidRPr="00FC5A36">
        <w:rPr>
          <w:b/>
          <w:color w:val="000000" w:themeColor="text1"/>
        </w:rPr>
        <w:t xml:space="preserve">WPROWADZENIE DO </w:t>
      </w:r>
      <w:r w:rsidR="00B04C0E">
        <w:rPr>
          <w:b/>
          <w:color w:val="000000" w:themeColor="text1"/>
        </w:rPr>
        <w:t>PRZEDMIOTU</w:t>
      </w:r>
      <w:r w:rsidRPr="00FC5A36">
        <w:rPr>
          <w:b/>
          <w:color w:val="000000" w:themeColor="text1"/>
        </w:rPr>
        <w:t xml:space="preserve"> 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1F2E6199" w14:textId="222BF388" w:rsidR="004C774E" w:rsidRPr="00B04C0E" w:rsidRDefault="00B04C0E" w:rsidP="00B04C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B04C0E">
              <w:rPr>
                <w:sz w:val="22"/>
              </w:rPr>
              <w:t xml:space="preserve">Program zajęć z Immunologii dla studentów kierunku </w:t>
            </w:r>
            <w:r w:rsidR="005D745F">
              <w:rPr>
                <w:sz w:val="22"/>
              </w:rPr>
              <w:t>lekarskiego</w:t>
            </w:r>
            <w:r w:rsidRPr="00B04C0E">
              <w:rPr>
                <w:sz w:val="22"/>
              </w:rPr>
              <w:t xml:space="preserve"> stanowi przegląd podstaw najważniejszych dziedzin immunologii. W trakcie zajęć studenci poznają budowę i funkcjonowanie układu immunologicznego, przebieg odpowiedzi immunologicznej oraz zjawiska patologiczne </w:t>
            </w:r>
            <w:r w:rsidR="005068E8">
              <w:rPr>
                <w:sz w:val="22"/>
              </w:rPr>
              <w:t xml:space="preserve">w immunologii. Ponadto </w:t>
            </w:r>
            <w:r w:rsidRPr="00B04C0E">
              <w:rPr>
                <w:sz w:val="22"/>
              </w:rPr>
              <w:t>zapoznają</w:t>
            </w:r>
            <w:r>
              <w:rPr>
                <w:sz w:val="22"/>
              </w:rPr>
              <w:t xml:space="preserve"> się z podstawami immunoterapii</w:t>
            </w:r>
            <w:r w:rsidRPr="00B04C0E">
              <w:rPr>
                <w:sz w:val="22"/>
              </w:rPr>
              <w:t>.</w:t>
            </w:r>
            <w:r w:rsidR="005068E8">
              <w:rPr>
                <w:sz w:val="22"/>
              </w:rPr>
              <w:t xml:space="preserve"> W ramach ćwiczeń praktycznych studenci poznają podstawowe techniki immunologiczne, wykorzystywane m. in. w diagnostyce. </w:t>
            </w: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5CDFD0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0EDBBC96" w14:textId="55A2C594" w:rsidR="008F563E" w:rsidRDefault="008F563E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39D3587B" w14:textId="2D2A466B" w:rsidR="001E6CDB" w:rsidRDefault="001E6CDB" w:rsidP="001E6CDB">
      <w:pPr>
        <w:tabs>
          <w:tab w:val="left" w:pos="5670"/>
        </w:tabs>
        <w:autoSpaceDE w:val="0"/>
        <w:snapToGrid w:val="0"/>
        <w:spacing w:line="254" w:lineRule="auto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11. </w:t>
      </w:r>
      <w:r w:rsidR="0096539E">
        <w:rPr>
          <w:b/>
          <w:color w:val="000000" w:themeColor="text1"/>
        </w:rPr>
        <w:t>TREŚCI MERYTORYCZNE</w:t>
      </w:r>
    </w:p>
    <w:p w14:paraId="020AE8C4" w14:textId="34B75F39" w:rsidR="00020D2B" w:rsidRDefault="0070389B" w:rsidP="0070389B">
      <w:pPr>
        <w:tabs>
          <w:tab w:val="left" w:pos="8256"/>
        </w:tabs>
        <w:autoSpaceDE w:val="0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ab/>
      </w:r>
    </w:p>
    <w:p w14:paraId="2B737524" w14:textId="437531F9" w:rsidR="00940E70" w:rsidRDefault="00020D2B" w:rsidP="004C774E">
      <w:pPr>
        <w:tabs>
          <w:tab w:val="left" w:pos="5670"/>
        </w:tabs>
        <w:autoSpaceDE w:val="0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>WYKŁADY</w:t>
      </w:r>
    </w:p>
    <w:p w14:paraId="3AF1C3B4" w14:textId="77777777" w:rsidR="00940E70" w:rsidRDefault="00940E70" w:rsidP="004C774E">
      <w:pPr>
        <w:tabs>
          <w:tab w:val="left" w:pos="5670"/>
        </w:tabs>
        <w:autoSpaceDE w:val="0"/>
        <w:rPr>
          <w:b/>
          <w:color w:val="000000" w:themeColor="text1"/>
          <w:lang w:eastAsia="en-US"/>
        </w:rPr>
      </w:pPr>
    </w:p>
    <w:tbl>
      <w:tblPr>
        <w:tblStyle w:val="Tabela-Siatka"/>
        <w:tblW w:w="9268" w:type="dxa"/>
        <w:tblInd w:w="225" w:type="dxa"/>
        <w:tblLook w:val="04A0" w:firstRow="1" w:lastRow="0" w:firstColumn="1" w:lastColumn="0" w:noHBand="0" w:noVBand="1"/>
      </w:tblPr>
      <w:tblGrid>
        <w:gridCol w:w="396"/>
        <w:gridCol w:w="2481"/>
        <w:gridCol w:w="1016"/>
        <w:gridCol w:w="5375"/>
      </w:tblGrid>
      <w:tr w:rsidR="00E364AE" w14:paraId="4F52D545" w14:textId="70A3E563" w:rsidTr="001D129E">
        <w:tc>
          <w:tcPr>
            <w:tcW w:w="396" w:type="dxa"/>
          </w:tcPr>
          <w:p w14:paraId="7D0391A5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481" w:type="dxa"/>
          </w:tcPr>
          <w:p w14:paraId="0CF768A5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Temat</w:t>
            </w:r>
          </w:p>
          <w:p w14:paraId="0A76459B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016" w:type="dxa"/>
          </w:tcPr>
          <w:p w14:paraId="7658FF9B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Czas trwania</w:t>
            </w:r>
          </w:p>
        </w:tc>
        <w:tc>
          <w:tcPr>
            <w:tcW w:w="5375" w:type="dxa"/>
          </w:tcPr>
          <w:p w14:paraId="5AA3E8AC" w14:textId="48058901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Zagadnienia</w:t>
            </w:r>
          </w:p>
        </w:tc>
      </w:tr>
      <w:tr w:rsidR="00E364AE" w14:paraId="1E2AA143" w14:textId="5D21E2ED" w:rsidTr="001D129E">
        <w:trPr>
          <w:trHeight w:val="308"/>
        </w:trPr>
        <w:tc>
          <w:tcPr>
            <w:tcW w:w="396" w:type="dxa"/>
          </w:tcPr>
          <w:p w14:paraId="37CC8A90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</w:t>
            </w:r>
          </w:p>
        </w:tc>
        <w:tc>
          <w:tcPr>
            <w:tcW w:w="2481" w:type="dxa"/>
          </w:tcPr>
          <w:p w14:paraId="3CEC8FA1" w14:textId="2E0A4224" w:rsidR="00E364AE" w:rsidRPr="00020D2B" w:rsidRDefault="00E364AE" w:rsidP="00E364AE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sz w:val="22"/>
                <w:szCs w:val="22"/>
              </w:rPr>
              <w:t xml:space="preserve">Wprowadzenie do immunologii </w:t>
            </w:r>
          </w:p>
        </w:tc>
        <w:tc>
          <w:tcPr>
            <w:tcW w:w="1016" w:type="dxa"/>
          </w:tcPr>
          <w:p w14:paraId="5A4EDABE" w14:textId="77777777" w:rsidR="00E364AE" w:rsidRPr="00020D2B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3h</w:t>
            </w:r>
          </w:p>
        </w:tc>
        <w:tc>
          <w:tcPr>
            <w:tcW w:w="5375" w:type="dxa"/>
          </w:tcPr>
          <w:p w14:paraId="780B9322" w14:textId="3F7EB4D4" w:rsidR="00E364AE" w:rsidRPr="00020D2B" w:rsidRDefault="00E364AE" w:rsidP="00F77528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 xml:space="preserve">Historia immunologii. Komórki i tkanki układu immunologicznego. Odporność wrodzona i nabyta. </w:t>
            </w:r>
            <w:r w:rsidR="00020D2B" w:rsidRPr="00020D2B">
              <w:rPr>
                <w:color w:val="000000" w:themeColor="text1"/>
                <w:sz w:val="22"/>
                <w:szCs w:val="22"/>
                <w:lang w:eastAsia="en-US"/>
              </w:rPr>
              <w:t>Główny układ zgodności tkankowej.</w:t>
            </w:r>
          </w:p>
        </w:tc>
      </w:tr>
      <w:tr w:rsidR="00E364AE" w14:paraId="6EBE8AF8" w14:textId="6F1874E9" w:rsidTr="001D129E">
        <w:tc>
          <w:tcPr>
            <w:tcW w:w="396" w:type="dxa"/>
          </w:tcPr>
          <w:p w14:paraId="647952F1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2.</w:t>
            </w:r>
          </w:p>
        </w:tc>
        <w:tc>
          <w:tcPr>
            <w:tcW w:w="2481" w:type="dxa"/>
          </w:tcPr>
          <w:p w14:paraId="1D6FCBF5" w14:textId="01AFE78A" w:rsidR="00E364AE" w:rsidRPr="00020D2B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Rodzaje odporności</w:t>
            </w:r>
          </w:p>
        </w:tc>
        <w:tc>
          <w:tcPr>
            <w:tcW w:w="1016" w:type="dxa"/>
          </w:tcPr>
          <w:p w14:paraId="64F038C3" w14:textId="77777777" w:rsidR="00E364AE" w:rsidRPr="00020D2B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3h</w:t>
            </w:r>
          </w:p>
        </w:tc>
        <w:tc>
          <w:tcPr>
            <w:tcW w:w="5375" w:type="dxa"/>
          </w:tcPr>
          <w:p w14:paraId="184A0EB3" w14:textId="386ADD12" w:rsidR="00E364AE" w:rsidRPr="00020D2B" w:rsidRDefault="00020D2B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 xml:space="preserve">Mechanizmy efektorowe odpowiedzi komórkowej i </w:t>
            </w: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humoralnej.</w:t>
            </w:r>
          </w:p>
        </w:tc>
      </w:tr>
      <w:tr w:rsidR="00E364AE" w14:paraId="3A866AAE" w14:textId="6C22ACD6" w:rsidTr="001D129E">
        <w:tc>
          <w:tcPr>
            <w:tcW w:w="396" w:type="dxa"/>
          </w:tcPr>
          <w:p w14:paraId="1EE64F25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3.</w:t>
            </w:r>
          </w:p>
        </w:tc>
        <w:tc>
          <w:tcPr>
            <w:tcW w:w="2481" w:type="dxa"/>
          </w:tcPr>
          <w:p w14:paraId="04770C72" w14:textId="6878F7F4" w:rsidR="00E364AE" w:rsidRPr="00020D2B" w:rsidRDefault="00F77528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Nadwrażliwość immunologiczna</w:t>
            </w:r>
          </w:p>
        </w:tc>
        <w:tc>
          <w:tcPr>
            <w:tcW w:w="1016" w:type="dxa"/>
          </w:tcPr>
          <w:p w14:paraId="66252842" w14:textId="77777777" w:rsidR="00E364AE" w:rsidRPr="00020D2B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3h</w:t>
            </w:r>
          </w:p>
        </w:tc>
        <w:tc>
          <w:tcPr>
            <w:tcW w:w="5375" w:type="dxa"/>
          </w:tcPr>
          <w:p w14:paraId="094D7659" w14:textId="6E1068C2" w:rsidR="00E364AE" w:rsidRPr="00020D2B" w:rsidRDefault="00F77528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Tolerancja immunologiczna. Reakcje autoimmunologiczne. Reakcje alergiczne.</w:t>
            </w:r>
          </w:p>
        </w:tc>
      </w:tr>
      <w:tr w:rsidR="00E364AE" w14:paraId="65C84EDF" w14:textId="7BC1D752" w:rsidTr="001D129E">
        <w:tc>
          <w:tcPr>
            <w:tcW w:w="396" w:type="dxa"/>
          </w:tcPr>
          <w:p w14:paraId="51B774F8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4.</w:t>
            </w:r>
          </w:p>
        </w:tc>
        <w:tc>
          <w:tcPr>
            <w:tcW w:w="2481" w:type="dxa"/>
          </w:tcPr>
          <w:p w14:paraId="060F2D2E" w14:textId="21746E0F" w:rsidR="00E364AE" w:rsidRPr="00020D2B" w:rsidRDefault="00020D2B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Immunologia transplantacyjna</w:t>
            </w:r>
          </w:p>
        </w:tc>
        <w:tc>
          <w:tcPr>
            <w:tcW w:w="1016" w:type="dxa"/>
          </w:tcPr>
          <w:p w14:paraId="0F450472" w14:textId="77777777" w:rsidR="00E364AE" w:rsidRPr="00020D2B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3h</w:t>
            </w:r>
          </w:p>
        </w:tc>
        <w:tc>
          <w:tcPr>
            <w:tcW w:w="5375" w:type="dxa"/>
          </w:tcPr>
          <w:p w14:paraId="566E5E52" w14:textId="5AA0451A" w:rsidR="00E364AE" w:rsidRPr="00020D2B" w:rsidRDefault="002E6E59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Odpowiedź na alloantygeny. Transplantacja krwi, hematopoetycznych komórek macierzystych, ksenotransplantacja. Mechanizmy odrzucania przeszczepów. </w:t>
            </w:r>
          </w:p>
        </w:tc>
      </w:tr>
      <w:tr w:rsidR="00E364AE" w14:paraId="6E97A965" w14:textId="6325619A" w:rsidTr="001D129E">
        <w:tc>
          <w:tcPr>
            <w:tcW w:w="396" w:type="dxa"/>
          </w:tcPr>
          <w:p w14:paraId="5086A976" w14:textId="77777777" w:rsidR="00E364AE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5.</w:t>
            </w:r>
          </w:p>
        </w:tc>
        <w:tc>
          <w:tcPr>
            <w:tcW w:w="2481" w:type="dxa"/>
          </w:tcPr>
          <w:p w14:paraId="591FF5A6" w14:textId="2DA75F5D" w:rsidR="00E364AE" w:rsidRPr="00020D2B" w:rsidRDefault="00020D2B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sz w:val="22"/>
                <w:szCs w:val="22"/>
              </w:rPr>
              <w:t>Immunologia nowotworów</w:t>
            </w:r>
          </w:p>
        </w:tc>
        <w:tc>
          <w:tcPr>
            <w:tcW w:w="1016" w:type="dxa"/>
          </w:tcPr>
          <w:p w14:paraId="3A1FBCB8" w14:textId="77777777" w:rsidR="00E364AE" w:rsidRPr="00020D2B" w:rsidRDefault="00E364A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20D2B">
              <w:rPr>
                <w:color w:val="000000" w:themeColor="text1"/>
                <w:sz w:val="22"/>
                <w:szCs w:val="22"/>
                <w:lang w:eastAsia="en-US"/>
              </w:rPr>
              <w:t>3h</w:t>
            </w:r>
          </w:p>
        </w:tc>
        <w:tc>
          <w:tcPr>
            <w:tcW w:w="5375" w:type="dxa"/>
          </w:tcPr>
          <w:p w14:paraId="2C1E4DC7" w14:textId="18E0E7BC" w:rsidR="00E364AE" w:rsidRPr="00020D2B" w:rsidRDefault="00992706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Antygeny nowotworowe. Elementy i mechanizmy odporności przeciwnowotworowej. Ucieczka immunologiczna.</w:t>
            </w:r>
          </w:p>
        </w:tc>
      </w:tr>
    </w:tbl>
    <w:p w14:paraId="7ADC1FBA" w14:textId="3099FDF8" w:rsidR="00940E70" w:rsidRDefault="00940E70" w:rsidP="004C774E">
      <w:pPr>
        <w:tabs>
          <w:tab w:val="left" w:pos="5670"/>
        </w:tabs>
        <w:autoSpaceDE w:val="0"/>
        <w:rPr>
          <w:b/>
          <w:color w:val="000000" w:themeColor="text1"/>
          <w:lang w:eastAsia="en-US"/>
        </w:rPr>
      </w:pPr>
    </w:p>
    <w:p w14:paraId="1EB0E37F" w14:textId="3B228917" w:rsidR="00940E70" w:rsidRDefault="00940E70" w:rsidP="004C774E">
      <w:pPr>
        <w:tabs>
          <w:tab w:val="left" w:pos="5670"/>
        </w:tabs>
        <w:autoSpaceDE w:val="0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>SEMINARIA</w:t>
      </w:r>
    </w:p>
    <w:p w14:paraId="6C38C445" w14:textId="77777777" w:rsidR="00940E70" w:rsidRDefault="00940E70" w:rsidP="004C774E">
      <w:pPr>
        <w:tabs>
          <w:tab w:val="left" w:pos="5670"/>
        </w:tabs>
        <w:autoSpaceDE w:val="0"/>
        <w:rPr>
          <w:b/>
          <w:color w:val="000000" w:themeColor="text1"/>
          <w:lang w:eastAsia="en-US"/>
        </w:rPr>
      </w:pPr>
    </w:p>
    <w:tbl>
      <w:tblPr>
        <w:tblStyle w:val="Tabela-Siatka"/>
        <w:tblW w:w="9238" w:type="dxa"/>
        <w:tblInd w:w="255" w:type="dxa"/>
        <w:tblLook w:val="04A0" w:firstRow="1" w:lastRow="0" w:firstColumn="1" w:lastColumn="0" w:noHBand="0" w:noVBand="1"/>
      </w:tblPr>
      <w:tblGrid>
        <w:gridCol w:w="396"/>
        <w:gridCol w:w="2458"/>
        <w:gridCol w:w="1016"/>
        <w:gridCol w:w="5368"/>
      </w:tblGrid>
      <w:tr w:rsidR="001D129E" w14:paraId="30052E9E" w14:textId="07D1FD19" w:rsidTr="001D129E">
        <w:tc>
          <w:tcPr>
            <w:tcW w:w="396" w:type="dxa"/>
          </w:tcPr>
          <w:p w14:paraId="58639296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458" w:type="dxa"/>
          </w:tcPr>
          <w:p w14:paraId="7EFB6B71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Temat</w:t>
            </w:r>
          </w:p>
          <w:p w14:paraId="0E55BDEC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016" w:type="dxa"/>
          </w:tcPr>
          <w:p w14:paraId="0A63C18F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Czas trwania</w:t>
            </w:r>
          </w:p>
        </w:tc>
        <w:tc>
          <w:tcPr>
            <w:tcW w:w="5368" w:type="dxa"/>
          </w:tcPr>
          <w:p w14:paraId="1DE74D79" w14:textId="6DC1CA0A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Zagadnienia</w:t>
            </w:r>
          </w:p>
        </w:tc>
      </w:tr>
      <w:tr w:rsidR="001D129E" w14:paraId="36489DD4" w14:textId="4D93E6EF" w:rsidTr="001D129E">
        <w:trPr>
          <w:trHeight w:val="308"/>
        </w:trPr>
        <w:tc>
          <w:tcPr>
            <w:tcW w:w="396" w:type="dxa"/>
          </w:tcPr>
          <w:p w14:paraId="51DA288E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</w:t>
            </w:r>
          </w:p>
        </w:tc>
        <w:tc>
          <w:tcPr>
            <w:tcW w:w="2458" w:type="dxa"/>
          </w:tcPr>
          <w:p w14:paraId="3952C287" w14:textId="2F5DAB4D" w:rsidR="001D129E" w:rsidRPr="00E1283F" w:rsidRDefault="001D129E" w:rsidP="00E1283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1283F">
              <w:rPr>
                <w:color w:val="000000" w:themeColor="text1"/>
                <w:lang w:eastAsia="en-US"/>
              </w:rPr>
              <w:t>Dojrzewanie i aktywacja limfocytów</w:t>
            </w:r>
          </w:p>
        </w:tc>
        <w:tc>
          <w:tcPr>
            <w:tcW w:w="1016" w:type="dxa"/>
          </w:tcPr>
          <w:p w14:paraId="36FD80F2" w14:textId="4B46BA35" w:rsidR="001D129E" w:rsidRPr="007A38E3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7A38E3">
              <w:rPr>
                <w:color w:val="000000" w:themeColor="text1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5368" w:type="dxa"/>
          </w:tcPr>
          <w:p w14:paraId="3E0F3FB5" w14:textId="528CB2D2" w:rsidR="001D129E" w:rsidRDefault="002A5A56" w:rsidP="009D791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Stadia i miejsca dojrzewania limfocytów B i T. Rearanżacje genó</w:t>
            </w:r>
            <w:r w:rsidR="009D791F">
              <w:rPr>
                <w:color w:val="000000" w:themeColor="text1"/>
                <w:sz w:val="22"/>
                <w:szCs w:val="22"/>
                <w:lang w:eastAsia="en-US"/>
              </w:rPr>
              <w:t>w receptorów zewnątrzkomórkowych limfocytów. Sygnały aktywacji limfocytów T. Odpowiedź funkcjonalna limfocytów T. Rozpoznawanie antygenów i aktywacja limfocytów B w odpowiedzi na antygeny. Produkcja przeciwciał w odpowiedzi na antygeny.</w:t>
            </w:r>
          </w:p>
        </w:tc>
      </w:tr>
      <w:tr w:rsidR="001D129E" w14:paraId="605697B5" w14:textId="6A0BD745" w:rsidTr="001D129E">
        <w:tc>
          <w:tcPr>
            <w:tcW w:w="396" w:type="dxa"/>
          </w:tcPr>
          <w:p w14:paraId="1ADBA6A9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2.</w:t>
            </w:r>
          </w:p>
        </w:tc>
        <w:tc>
          <w:tcPr>
            <w:tcW w:w="2458" w:type="dxa"/>
          </w:tcPr>
          <w:p w14:paraId="7795504C" w14:textId="49593FD2" w:rsidR="001D129E" w:rsidRPr="00E1283F" w:rsidRDefault="001D129E" w:rsidP="00E1283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1283F">
              <w:rPr>
                <w:color w:val="000000" w:themeColor="text1"/>
                <w:lang w:eastAsia="en-US"/>
              </w:rPr>
              <w:t>Odpowi</w:t>
            </w:r>
            <w:r>
              <w:rPr>
                <w:color w:val="000000" w:themeColor="text1"/>
                <w:lang w:eastAsia="en-US"/>
              </w:rPr>
              <w:t>edź immunologiczna na zakażenia</w:t>
            </w:r>
          </w:p>
        </w:tc>
        <w:tc>
          <w:tcPr>
            <w:tcW w:w="1016" w:type="dxa"/>
          </w:tcPr>
          <w:p w14:paraId="36366893" w14:textId="6B545DC4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F2B34">
              <w:rPr>
                <w:color w:val="000000" w:themeColor="text1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5368" w:type="dxa"/>
          </w:tcPr>
          <w:p w14:paraId="634E6E12" w14:textId="2367754B" w:rsidR="001D129E" w:rsidRDefault="009D791F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Odporność na zewnątrzkomórkowe i wewnątrzkomórkowe zakażenia bakteryjne, zakażenia grzybicze, wirusowe i pasożytnicze.</w:t>
            </w:r>
          </w:p>
        </w:tc>
      </w:tr>
      <w:tr w:rsidR="001D129E" w14:paraId="2CEA6FD8" w14:textId="52E199FB" w:rsidTr="001D129E">
        <w:tc>
          <w:tcPr>
            <w:tcW w:w="396" w:type="dxa"/>
          </w:tcPr>
          <w:p w14:paraId="7506DF74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</w:t>
            </w:r>
          </w:p>
        </w:tc>
        <w:tc>
          <w:tcPr>
            <w:tcW w:w="2458" w:type="dxa"/>
          </w:tcPr>
          <w:p w14:paraId="23B76A24" w14:textId="7CE78C86" w:rsidR="001D129E" w:rsidRPr="00E1283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1283F">
              <w:rPr>
                <w:color w:val="000000" w:themeColor="text1"/>
                <w:lang w:eastAsia="en-US"/>
              </w:rPr>
              <w:t>Szczepienia profilaktyczne i terapeutyczne</w:t>
            </w:r>
          </w:p>
        </w:tc>
        <w:tc>
          <w:tcPr>
            <w:tcW w:w="1016" w:type="dxa"/>
          </w:tcPr>
          <w:p w14:paraId="4E6FAA70" w14:textId="56F84C92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F2B34">
              <w:rPr>
                <w:color w:val="000000" w:themeColor="text1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5368" w:type="dxa"/>
          </w:tcPr>
          <w:p w14:paraId="33DD0C2C" w14:textId="19687B7D" w:rsidR="001D129E" w:rsidRDefault="009D791F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Strategie rozwoju szczepionek.</w:t>
            </w:r>
            <w:r w:rsidR="00990E97">
              <w:rPr>
                <w:color w:val="000000" w:themeColor="text1"/>
                <w:sz w:val="22"/>
                <w:szCs w:val="22"/>
                <w:lang w:eastAsia="en-US"/>
              </w:rPr>
              <w:t xml:space="preserve"> Atenuowane i inaktywowane szczepionki bakteryjne i wirusowe. Szczepionki zawierające oczyszczone i syntetyczne antygeny. Szczepionki zawierające rekombinowane wirusy. Szczepionki DNA.</w:t>
            </w:r>
            <w:r w:rsidR="002F3139">
              <w:rPr>
                <w:color w:val="000000" w:themeColor="text1"/>
                <w:sz w:val="22"/>
                <w:szCs w:val="22"/>
                <w:lang w:eastAsia="en-US"/>
              </w:rPr>
              <w:t xml:space="preserve"> Immunizacja</w:t>
            </w:r>
            <w:r w:rsidR="00990E97">
              <w:rPr>
                <w:color w:val="000000" w:themeColor="text1"/>
                <w:sz w:val="22"/>
                <w:szCs w:val="22"/>
                <w:lang w:eastAsia="en-US"/>
              </w:rPr>
              <w:t xml:space="preserve"> bierna.</w:t>
            </w:r>
          </w:p>
        </w:tc>
      </w:tr>
      <w:tr w:rsidR="001D129E" w14:paraId="7F61BAA1" w14:textId="4228D398" w:rsidTr="001D129E">
        <w:tc>
          <w:tcPr>
            <w:tcW w:w="396" w:type="dxa"/>
          </w:tcPr>
          <w:p w14:paraId="38D16D30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4.</w:t>
            </w:r>
          </w:p>
        </w:tc>
        <w:tc>
          <w:tcPr>
            <w:tcW w:w="2458" w:type="dxa"/>
          </w:tcPr>
          <w:p w14:paraId="55569B5C" w14:textId="0D4F69B0" w:rsidR="001D129E" w:rsidRPr="00E1283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Immunoterapia cz. 1</w:t>
            </w:r>
          </w:p>
        </w:tc>
        <w:tc>
          <w:tcPr>
            <w:tcW w:w="1016" w:type="dxa"/>
          </w:tcPr>
          <w:p w14:paraId="7692F8DA" w14:textId="21A8904A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F2B34">
              <w:rPr>
                <w:color w:val="000000" w:themeColor="text1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5368" w:type="dxa"/>
          </w:tcPr>
          <w:p w14:paraId="334A3F5E" w14:textId="1D2FD527" w:rsidR="001D129E" w:rsidRDefault="0018460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Wstęp do immunoterapii. Prezentacje własne studentów przygotowane w oparciu o dostępne publikacje naukowe w zakresie immunoterapii wybranych chorób.</w:t>
            </w:r>
          </w:p>
        </w:tc>
      </w:tr>
      <w:tr w:rsidR="001D129E" w14:paraId="11DF7B19" w14:textId="426DC81F" w:rsidTr="001D129E">
        <w:tc>
          <w:tcPr>
            <w:tcW w:w="396" w:type="dxa"/>
          </w:tcPr>
          <w:p w14:paraId="6341A101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5.</w:t>
            </w:r>
          </w:p>
        </w:tc>
        <w:tc>
          <w:tcPr>
            <w:tcW w:w="2458" w:type="dxa"/>
          </w:tcPr>
          <w:p w14:paraId="67CAA091" w14:textId="78444447" w:rsidR="001D129E" w:rsidRPr="00E1283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1283F">
              <w:rPr>
                <w:color w:val="000000" w:themeColor="text1"/>
                <w:lang w:eastAsia="en-US"/>
              </w:rPr>
              <w:t xml:space="preserve">Immunoterapia </w:t>
            </w:r>
            <w:r>
              <w:rPr>
                <w:color w:val="000000" w:themeColor="text1"/>
                <w:lang w:eastAsia="en-US"/>
              </w:rPr>
              <w:t>cz. 2</w:t>
            </w:r>
          </w:p>
        </w:tc>
        <w:tc>
          <w:tcPr>
            <w:tcW w:w="1016" w:type="dxa"/>
          </w:tcPr>
          <w:p w14:paraId="637EC885" w14:textId="6E64FD76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F2B34">
              <w:rPr>
                <w:color w:val="000000" w:themeColor="text1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5368" w:type="dxa"/>
          </w:tcPr>
          <w:p w14:paraId="08A33857" w14:textId="4F10F389" w:rsidR="001D129E" w:rsidRDefault="0018460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Prezentacje własne studentów przygotowane w oparciu o dostępne publikacje naukowe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w zakresie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immunoterapii wybranych chorób.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Podsumowanie prezentacji.</w:t>
            </w:r>
          </w:p>
        </w:tc>
      </w:tr>
    </w:tbl>
    <w:p w14:paraId="4F113AFD" w14:textId="77777777" w:rsidR="00940E70" w:rsidRDefault="00940E70" w:rsidP="004C774E">
      <w:pPr>
        <w:tabs>
          <w:tab w:val="left" w:pos="5670"/>
        </w:tabs>
        <w:autoSpaceDE w:val="0"/>
        <w:rPr>
          <w:b/>
          <w:color w:val="000000" w:themeColor="text1"/>
          <w:lang w:eastAsia="en-US"/>
        </w:rPr>
      </w:pPr>
    </w:p>
    <w:p w14:paraId="5D84057E" w14:textId="77777777" w:rsidR="000B59D4" w:rsidRDefault="000B59D4" w:rsidP="000B59D4">
      <w:pPr>
        <w:tabs>
          <w:tab w:val="left" w:pos="5670"/>
        </w:tabs>
        <w:autoSpaceDE w:val="0"/>
        <w:snapToGrid w:val="0"/>
        <w:spacing w:line="254" w:lineRule="auto"/>
        <w:jc w:val="both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>ĆWICZENIA</w:t>
      </w:r>
    </w:p>
    <w:p w14:paraId="2CD3A57D" w14:textId="77777777" w:rsidR="000B59D4" w:rsidRDefault="000B59D4" w:rsidP="000B59D4">
      <w:pPr>
        <w:tabs>
          <w:tab w:val="left" w:pos="5670"/>
        </w:tabs>
        <w:autoSpaceDE w:val="0"/>
        <w:snapToGrid w:val="0"/>
        <w:spacing w:line="254" w:lineRule="auto"/>
        <w:jc w:val="both"/>
        <w:rPr>
          <w:b/>
          <w:color w:val="000000" w:themeColor="text1"/>
          <w:lang w:eastAsia="en-US"/>
        </w:rPr>
      </w:pPr>
    </w:p>
    <w:tbl>
      <w:tblPr>
        <w:tblStyle w:val="Tabela-Siatka"/>
        <w:tblW w:w="9238" w:type="dxa"/>
        <w:tblInd w:w="255" w:type="dxa"/>
        <w:tblLook w:val="04A0" w:firstRow="1" w:lastRow="0" w:firstColumn="1" w:lastColumn="0" w:noHBand="0" w:noVBand="1"/>
      </w:tblPr>
      <w:tblGrid>
        <w:gridCol w:w="396"/>
        <w:gridCol w:w="2516"/>
        <w:gridCol w:w="1016"/>
        <w:gridCol w:w="5310"/>
      </w:tblGrid>
      <w:tr w:rsidR="001D129E" w14:paraId="0CCD334B" w14:textId="36603AF4" w:rsidTr="001D129E">
        <w:tc>
          <w:tcPr>
            <w:tcW w:w="396" w:type="dxa"/>
          </w:tcPr>
          <w:p w14:paraId="4E8089C5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516" w:type="dxa"/>
          </w:tcPr>
          <w:p w14:paraId="343230D8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Temat</w:t>
            </w:r>
          </w:p>
          <w:p w14:paraId="0488A5FD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016" w:type="dxa"/>
          </w:tcPr>
          <w:p w14:paraId="09549462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Czas trwania</w:t>
            </w:r>
          </w:p>
        </w:tc>
        <w:tc>
          <w:tcPr>
            <w:tcW w:w="5310" w:type="dxa"/>
          </w:tcPr>
          <w:p w14:paraId="24C2859F" w14:textId="664FF7A9" w:rsidR="001D129E" w:rsidRDefault="002A5A56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Zagadnienia/ </w:t>
            </w:r>
            <w:r w:rsidR="001D129E">
              <w:rPr>
                <w:b/>
                <w:color w:val="000000" w:themeColor="text1"/>
                <w:lang w:eastAsia="en-US"/>
              </w:rPr>
              <w:t>Przebieg ćwiczeń</w:t>
            </w:r>
          </w:p>
        </w:tc>
      </w:tr>
      <w:tr w:rsidR="001D129E" w14:paraId="2373632D" w14:textId="558CFC94" w:rsidTr="001D129E">
        <w:trPr>
          <w:trHeight w:val="308"/>
        </w:trPr>
        <w:tc>
          <w:tcPr>
            <w:tcW w:w="396" w:type="dxa"/>
          </w:tcPr>
          <w:p w14:paraId="373586DC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</w:t>
            </w:r>
          </w:p>
        </w:tc>
        <w:tc>
          <w:tcPr>
            <w:tcW w:w="2516" w:type="dxa"/>
          </w:tcPr>
          <w:p w14:paraId="1B836BC2" w14:textId="77777777" w:rsidR="001D129E" w:rsidRPr="00CB44E4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B44E4">
              <w:rPr>
                <w:color w:val="000000" w:themeColor="text1"/>
                <w:lang w:eastAsia="en-US"/>
              </w:rPr>
              <w:t>Wprowadzenie do technik immunologicznych</w:t>
            </w:r>
          </w:p>
        </w:tc>
        <w:tc>
          <w:tcPr>
            <w:tcW w:w="1016" w:type="dxa"/>
          </w:tcPr>
          <w:p w14:paraId="1BC9B00B" w14:textId="77777777" w:rsidR="001D129E" w:rsidRPr="00C0586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0586F">
              <w:rPr>
                <w:color w:val="000000" w:themeColor="text1"/>
                <w:sz w:val="22"/>
                <w:szCs w:val="22"/>
                <w:lang w:eastAsia="en-US"/>
              </w:rPr>
              <w:t>2h</w:t>
            </w:r>
          </w:p>
        </w:tc>
        <w:tc>
          <w:tcPr>
            <w:tcW w:w="5310" w:type="dxa"/>
          </w:tcPr>
          <w:p w14:paraId="1CC28F1D" w14:textId="5E8B6F27" w:rsidR="001D129E" w:rsidRPr="00C0586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Prezentacja multimedialna na temat technik immunologicznych wykorzystywanych w diagnostyce oraz w badaniach naukowych</w:t>
            </w:r>
          </w:p>
        </w:tc>
      </w:tr>
      <w:tr w:rsidR="001D129E" w14:paraId="1923890D" w14:textId="6EF8FABD" w:rsidTr="001D129E">
        <w:trPr>
          <w:trHeight w:val="308"/>
        </w:trPr>
        <w:tc>
          <w:tcPr>
            <w:tcW w:w="396" w:type="dxa"/>
          </w:tcPr>
          <w:p w14:paraId="1CB06C46" w14:textId="77777777" w:rsidR="001D129E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2. </w:t>
            </w:r>
          </w:p>
        </w:tc>
        <w:tc>
          <w:tcPr>
            <w:tcW w:w="2516" w:type="dxa"/>
          </w:tcPr>
          <w:p w14:paraId="37367260" w14:textId="77777777" w:rsidR="001D129E" w:rsidRPr="00CB44E4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Western blot cz. 1</w:t>
            </w:r>
          </w:p>
        </w:tc>
        <w:tc>
          <w:tcPr>
            <w:tcW w:w="1016" w:type="dxa"/>
          </w:tcPr>
          <w:p w14:paraId="3ECEA883" w14:textId="77777777" w:rsidR="001D129E" w:rsidRPr="00C0586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0586F">
              <w:rPr>
                <w:color w:val="000000" w:themeColor="text1"/>
                <w:sz w:val="22"/>
                <w:szCs w:val="22"/>
                <w:lang w:eastAsia="en-US"/>
              </w:rPr>
              <w:t>5h</w:t>
            </w:r>
          </w:p>
        </w:tc>
        <w:tc>
          <w:tcPr>
            <w:tcW w:w="5310" w:type="dxa"/>
          </w:tcPr>
          <w:p w14:paraId="60B80F22" w14:textId="43876FDD" w:rsidR="001D129E" w:rsidRPr="00C0586F" w:rsidRDefault="001D129E" w:rsidP="00DA185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Przygotowanie żeli poliakrylamidowych, elektroforeza białek, transfer</w:t>
            </w:r>
            <w:r w:rsidR="00501889">
              <w:rPr>
                <w:color w:val="000000" w:themeColor="text1"/>
                <w:sz w:val="22"/>
                <w:szCs w:val="22"/>
                <w:lang w:eastAsia="en-US"/>
              </w:rPr>
              <w:t xml:space="preserve"> na membranę PVDF, blokowanie, inkubacja</w:t>
            </w:r>
            <w:r w:rsidR="00DA1854">
              <w:rPr>
                <w:color w:val="000000" w:themeColor="text1"/>
                <w:sz w:val="22"/>
                <w:szCs w:val="22"/>
                <w:lang w:eastAsia="en-US"/>
              </w:rPr>
              <w:t xml:space="preserve"> membran z przeciwciałami pierwszorzędowymi</w:t>
            </w:r>
          </w:p>
        </w:tc>
      </w:tr>
      <w:tr w:rsidR="001D129E" w14:paraId="56130D2E" w14:textId="1029698A" w:rsidTr="001D129E">
        <w:tc>
          <w:tcPr>
            <w:tcW w:w="396" w:type="dxa"/>
          </w:tcPr>
          <w:p w14:paraId="034D7AF0" w14:textId="1A04173B" w:rsidR="001D129E" w:rsidRDefault="00DA1854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</w:t>
            </w:r>
            <w:r w:rsidR="001D129E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2516" w:type="dxa"/>
          </w:tcPr>
          <w:p w14:paraId="4E71FA0A" w14:textId="77777777" w:rsidR="001D129E" w:rsidRPr="00CB44E4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Western blot cz. 2. ELISA cz. 1</w:t>
            </w:r>
          </w:p>
        </w:tc>
        <w:tc>
          <w:tcPr>
            <w:tcW w:w="1016" w:type="dxa"/>
          </w:tcPr>
          <w:p w14:paraId="05923BF6" w14:textId="77777777" w:rsidR="001D129E" w:rsidRPr="00C0586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0586F">
              <w:rPr>
                <w:color w:val="000000" w:themeColor="text1"/>
                <w:sz w:val="22"/>
                <w:szCs w:val="22"/>
                <w:lang w:eastAsia="en-US"/>
              </w:rPr>
              <w:t>5h</w:t>
            </w:r>
          </w:p>
        </w:tc>
        <w:tc>
          <w:tcPr>
            <w:tcW w:w="5310" w:type="dxa"/>
          </w:tcPr>
          <w:p w14:paraId="1FC292F9" w14:textId="616D0F51" w:rsidR="001D129E" w:rsidRPr="00C0586F" w:rsidRDefault="00DA1854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Inkubacja membran z przeciwciałami drugorzędowymi, wywołanie reakcji</w:t>
            </w:r>
            <w:r w:rsidR="002A5A56">
              <w:rPr>
                <w:color w:val="000000" w:themeColor="text1"/>
                <w:sz w:val="22"/>
                <w:szCs w:val="22"/>
                <w:lang w:eastAsia="en-US"/>
              </w:rPr>
              <w:t xml:space="preserve"> i analiza wyników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. Opłaszczenie płytek do testu ELISA rekombinowanym białkiem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(antygenem)</w:t>
            </w:r>
          </w:p>
        </w:tc>
      </w:tr>
      <w:tr w:rsidR="001D129E" w14:paraId="4D9CD5B9" w14:textId="068D2B02" w:rsidTr="001D129E">
        <w:tc>
          <w:tcPr>
            <w:tcW w:w="396" w:type="dxa"/>
          </w:tcPr>
          <w:p w14:paraId="33ED7C1F" w14:textId="1775A313" w:rsidR="001D129E" w:rsidRDefault="00DA1854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4</w:t>
            </w:r>
            <w:r w:rsidR="001D129E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2516" w:type="dxa"/>
          </w:tcPr>
          <w:p w14:paraId="38BF8602" w14:textId="77777777" w:rsidR="001D129E" w:rsidRPr="00CB44E4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B44E4">
              <w:rPr>
                <w:color w:val="000000" w:themeColor="text1"/>
                <w:lang w:eastAsia="en-US"/>
              </w:rPr>
              <w:t>ELISA</w:t>
            </w:r>
            <w:r>
              <w:rPr>
                <w:color w:val="000000" w:themeColor="text1"/>
                <w:lang w:eastAsia="en-US"/>
              </w:rPr>
              <w:t xml:space="preserve"> cz. 2</w:t>
            </w:r>
          </w:p>
        </w:tc>
        <w:tc>
          <w:tcPr>
            <w:tcW w:w="1016" w:type="dxa"/>
          </w:tcPr>
          <w:p w14:paraId="2684BEEA" w14:textId="77777777" w:rsidR="001D129E" w:rsidRPr="00C0586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0586F">
              <w:rPr>
                <w:color w:val="000000" w:themeColor="text1"/>
                <w:sz w:val="22"/>
                <w:szCs w:val="22"/>
                <w:lang w:eastAsia="en-US"/>
              </w:rPr>
              <w:t>3h</w:t>
            </w:r>
          </w:p>
        </w:tc>
        <w:tc>
          <w:tcPr>
            <w:tcW w:w="5310" w:type="dxa"/>
          </w:tcPr>
          <w:p w14:paraId="70B7A951" w14:textId="45CDE16A" w:rsidR="001D129E" w:rsidRPr="00C0586F" w:rsidRDefault="00DA1854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Blokowanie płytek, przygotowanie rozcieńczeń prób (surowic), nałożenie prób na płytki i inkubacja </w:t>
            </w:r>
          </w:p>
        </w:tc>
      </w:tr>
      <w:tr w:rsidR="001D129E" w14:paraId="228BB349" w14:textId="50E76E1A" w:rsidTr="001D129E">
        <w:tc>
          <w:tcPr>
            <w:tcW w:w="396" w:type="dxa"/>
          </w:tcPr>
          <w:p w14:paraId="14BFF553" w14:textId="3B4F9259" w:rsidR="001D129E" w:rsidRDefault="00DA1854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5</w:t>
            </w:r>
            <w:r w:rsidR="001D129E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2516" w:type="dxa"/>
          </w:tcPr>
          <w:p w14:paraId="23331FD6" w14:textId="77777777" w:rsidR="001D129E" w:rsidRPr="00CB44E4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B44E4">
              <w:rPr>
                <w:color w:val="000000" w:themeColor="text1"/>
                <w:lang w:eastAsia="en-US"/>
              </w:rPr>
              <w:t>ELISA cz. 3</w:t>
            </w:r>
          </w:p>
        </w:tc>
        <w:tc>
          <w:tcPr>
            <w:tcW w:w="1016" w:type="dxa"/>
          </w:tcPr>
          <w:p w14:paraId="7B590E6F" w14:textId="77777777" w:rsidR="001D129E" w:rsidRPr="00C0586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0586F">
              <w:rPr>
                <w:color w:val="000000" w:themeColor="text1"/>
                <w:sz w:val="22"/>
                <w:szCs w:val="22"/>
                <w:lang w:eastAsia="en-US"/>
              </w:rPr>
              <w:t>3h</w:t>
            </w:r>
          </w:p>
        </w:tc>
        <w:tc>
          <w:tcPr>
            <w:tcW w:w="5310" w:type="dxa"/>
          </w:tcPr>
          <w:p w14:paraId="5977C804" w14:textId="715E7C76" w:rsidR="001D129E" w:rsidRPr="00C0586F" w:rsidRDefault="002A5A56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Inkubacja płytek z przeciwciałem drugorzędowym, wywołanie reakcji i analiza wyników.</w:t>
            </w:r>
          </w:p>
        </w:tc>
      </w:tr>
      <w:tr w:rsidR="001D129E" w14:paraId="3B55B249" w14:textId="634122DC" w:rsidTr="001D129E">
        <w:tc>
          <w:tcPr>
            <w:tcW w:w="396" w:type="dxa"/>
          </w:tcPr>
          <w:p w14:paraId="6469ADD7" w14:textId="3E8D6535" w:rsidR="001D129E" w:rsidRDefault="00DA1854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6</w:t>
            </w:r>
            <w:r w:rsidR="001D129E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2516" w:type="dxa"/>
          </w:tcPr>
          <w:p w14:paraId="453F0565" w14:textId="7E1F8B41" w:rsidR="001D129E" w:rsidRPr="00CB44E4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0586F">
              <w:rPr>
                <w:color w:val="000000" w:themeColor="text1"/>
                <w:lang w:eastAsia="en-US"/>
              </w:rPr>
              <w:t>I</w:t>
            </w:r>
            <w:r>
              <w:rPr>
                <w:color w:val="000000" w:themeColor="text1"/>
                <w:lang w:eastAsia="en-US"/>
              </w:rPr>
              <w:t>zolacja limfocytów z krwi obwodowej</w:t>
            </w:r>
            <w:r w:rsidRPr="00C0586F">
              <w:rPr>
                <w:color w:val="000000" w:themeColor="text1"/>
                <w:lang w:eastAsia="en-US"/>
              </w:rPr>
              <w:t>. Immunof</w:t>
            </w:r>
            <w:r>
              <w:rPr>
                <w:color w:val="000000" w:themeColor="text1"/>
                <w:lang w:eastAsia="en-US"/>
              </w:rPr>
              <w:t>enotypowanie.</w:t>
            </w:r>
          </w:p>
        </w:tc>
        <w:tc>
          <w:tcPr>
            <w:tcW w:w="1016" w:type="dxa"/>
          </w:tcPr>
          <w:p w14:paraId="1DBEC9F0" w14:textId="77777777" w:rsidR="001D129E" w:rsidRPr="00C0586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0586F">
              <w:rPr>
                <w:color w:val="000000" w:themeColor="text1"/>
                <w:sz w:val="22"/>
                <w:szCs w:val="22"/>
                <w:lang w:eastAsia="en-US"/>
              </w:rPr>
              <w:t>6h</w:t>
            </w:r>
          </w:p>
        </w:tc>
        <w:tc>
          <w:tcPr>
            <w:tcW w:w="5310" w:type="dxa"/>
          </w:tcPr>
          <w:p w14:paraId="179467F3" w14:textId="77777777" w:rsidR="001D129E" w:rsidRDefault="002A5A56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Rozdział komórek krwi z użyciem ficollu, separacja PBMC, obserwacja komórek pod mikroskopem i liczenie.</w:t>
            </w:r>
          </w:p>
          <w:p w14:paraId="54E330DB" w14:textId="4A0D39EC" w:rsidR="002A5A56" w:rsidRPr="00C0586F" w:rsidRDefault="002A5A56" w:rsidP="002A5A56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Liza erytrocytów krwi pełnej, barwienie komórek za pomocą przeciwciał znakowanych fluorescencyjnie, utrwalenie prób i odczyt na cytometrze przepływowym.</w:t>
            </w:r>
          </w:p>
        </w:tc>
      </w:tr>
      <w:tr w:rsidR="001D129E" w14:paraId="2D339067" w14:textId="2AD620B8" w:rsidTr="001D129E">
        <w:tc>
          <w:tcPr>
            <w:tcW w:w="396" w:type="dxa"/>
          </w:tcPr>
          <w:p w14:paraId="61A579E7" w14:textId="0BBDCD5E" w:rsidR="001D129E" w:rsidRDefault="00DA1854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</w:t>
            </w:r>
            <w:r w:rsidR="001D129E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2516" w:type="dxa"/>
          </w:tcPr>
          <w:p w14:paraId="24427587" w14:textId="77777777" w:rsidR="001D129E" w:rsidRPr="00CB44E4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sz w:val="22"/>
              </w:rPr>
            </w:pPr>
            <w:r w:rsidRPr="00CB44E4">
              <w:rPr>
                <w:sz w:val="22"/>
              </w:rPr>
              <w:t>Kolokwium zaliczeniowe</w:t>
            </w:r>
          </w:p>
        </w:tc>
        <w:tc>
          <w:tcPr>
            <w:tcW w:w="1016" w:type="dxa"/>
          </w:tcPr>
          <w:p w14:paraId="24A37105" w14:textId="77777777" w:rsidR="001D129E" w:rsidRPr="00C0586F" w:rsidRDefault="001D129E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0586F">
              <w:rPr>
                <w:color w:val="000000" w:themeColor="text1"/>
                <w:sz w:val="22"/>
                <w:szCs w:val="22"/>
                <w:lang w:eastAsia="en-US"/>
              </w:rPr>
              <w:t>1h</w:t>
            </w:r>
          </w:p>
        </w:tc>
        <w:tc>
          <w:tcPr>
            <w:tcW w:w="5310" w:type="dxa"/>
          </w:tcPr>
          <w:p w14:paraId="73B2008B" w14:textId="3FB64127" w:rsidR="001D129E" w:rsidRPr="00C0586F" w:rsidRDefault="002A5A56" w:rsidP="00BA0E0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Pisemne kolokwium w formie testu jednokrotnego wyboru, składającego się z 20 pytań</w:t>
            </w:r>
            <w:r w:rsidR="00CE3D48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</w:tr>
    </w:tbl>
    <w:p w14:paraId="21597B60" w14:textId="5BC4129D" w:rsidR="00A52A2A" w:rsidRPr="00D04F04" w:rsidRDefault="00A52A2A" w:rsidP="00A52A2A">
      <w:pPr>
        <w:jc w:val="both"/>
        <w:rPr>
          <w:sz w:val="22"/>
        </w:rPr>
      </w:pPr>
    </w:p>
    <w:p w14:paraId="006C3318" w14:textId="77777777" w:rsidR="00A52A2A" w:rsidRDefault="00A52A2A" w:rsidP="004C774E">
      <w:pPr>
        <w:tabs>
          <w:tab w:val="left" w:pos="5670"/>
        </w:tabs>
        <w:autoSpaceDE w:val="0"/>
        <w:rPr>
          <w:b/>
          <w:color w:val="000000" w:themeColor="text1"/>
          <w:lang w:eastAsia="en-US"/>
        </w:rPr>
      </w:pPr>
    </w:p>
    <w:p w14:paraId="3EE263C8" w14:textId="77777777" w:rsidR="000B59D4" w:rsidRDefault="000B59D4" w:rsidP="004C774E">
      <w:pPr>
        <w:tabs>
          <w:tab w:val="left" w:pos="5670"/>
        </w:tabs>
        <w:autoSpaceDE w:val="0"/>
        <w:rPr>
          <w:b/>
          <w:color w:val="000000" w:themeColor="text1"/>
          <w:lang w:eastAsia="en-US"/>
        </w:rPr>
      </w:pPr>
    </w:p>
    <w:p w14:paraId="21E76BE6" w14:textId="4A7D3A07" w:rsidR="00BF21E3" w:rsidRPr="00FC5A36" w:rsidRDefault="0096539E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lang w:eastAsia="en-US"/>
        </w:rPr>
        <w:t>Co student powinien umieć po zakończeniu zajęć?</w:t>
      </w:r>
    </w:p>
    <w:p w14:paraId="5F51C433" w14:textId="7C15B7DB" w:rsidR="001E6CDB" w:rsidRDefault="001E6CDB" w:rsidP="001E6CDB">
      <w:pPr>
        <w:spacing w:line="276" w:lineRule="auto"/>
        <w:rPr>
          <w:b/>
          <w:lang w:eastAsia="en-US"/>
        </w:rPr>
      </w:pPr>
    </w:p>
    <w:p w14:paraId="683B43C4" w14:textId="102E05F0" w:rsidR="007A38E3" w:rsidRPr="008F563E" w:rsidRDefault="008F563E" w:rsidP="00985B58">
      <w:pPr>
        <w:spacing w:line="276" w:lineRule="auto"/>
        <w:ind w:firstLine="708"/>
        <w:jc w:val="both"/>
        <w:rPr>
          <w:lang w:eastAsia="en-US"/>
        </w:rPr>
      </w:pPr>
      <w:r w:rsidRPr="008F563E">
        <w:rPr>
          <w:lang w:eastAsia="en-US"/>
        </w:rPr>
        <w:t>Po zakończeniu zajęć student</w:t>
      </w:r>
      <w:r>
        <w:rPr>
          <w:lang w:eastAsia="en-US"/>
        </w:rPr>
        <w:t xml:space="preserve"> powinien</w:t>
      </w:r>
      <w:r w:rsidR="00985B58" w:rsidRPr="00985B58">
        <w:rPr>
          <w:lang w:eastAsia="en-US"/>
        </w:rPr>
        <w:t xml:space="preserve"> </w:t>
      </w:r>
      <w:r w:rsidR="00985B58">
        <w:rPr>
          <w:lang w:eastAsia="en-US"/>
        </w:rPr>
        <w:t xml:space="preserve">płynnie posługiwać się wiedzą przekazaną mu podczas wykładów, seminariów oraz ćwiczeń. </w:t>
      </w:r>
      <w:r w:rsidR="00A57E50">
        <w:rPr>
          <w:lang w:eastAsia="en-US"/>
        </w:rPr>
        <w:t>Powinien umieć przygotować prezentację multimedialną na wybrany temat</w:t>
      </w:r>
      <w:r w:rsidR="00985B58">
        <w:rPr>
          <w:lang w:eastAsia="en-US"/>
        </w:rPr>
        <w:t xml:space="preserve"> związany z tematyką zajęć</w:t>
      </w:r>
      <w:r w:rsidR="00A57E50">
        <w:rPr>
          <w:lang w:eastAsia="en-US"/>
        </w:rPr>
        <w:t xml:space="preserve"> </w:t>
      </w:r>
      <w:r w:rsidR="003871D1">
        <w:rPr>
          <w:lang w:eastAsia="en-US"/>
        </w:rPr>
        <w:t xml:space="preserve">i </w:t>
      </w:r>
      <w:r w:rsidR="00985B58">
        <w:rPr>
          <w:lang w:eastAsia="en-US"/>
        </w:rPr>
        <w:t>wygłosić</w:t>
      </w:r>
      <w:r w:rsidR="003871D1">
        <w:rPr>
          <w:lang w:eastAsia="en-US"/>
        </w:rPr>
        <w:t xml:space="preserve"> ją w</w:t>
      </w:r>
      <w:r w:rsidR="00985B58">
        <w:rPr>
          <w:lang w:eastAsia="en-US"/>
        </w:rPr>
        <w:t xml:space="preserve"> szerszym</w:t>
      </w:r>
      <w:r w:rsidR="003871D1">
        <w:rPr>
          <w:lang w:eastAsia="en-US"/>
        </w:rPr>
        <w:t xml:space="preserve"> gronie</w:t>
      </w:r>
      <w:r w:rsidR="00985B58">
        <w:rPr>
          <w:lang w:eastAsia="en-US"/>
        </w:rPr>
        <w:t>.</w:t>
      </w:r>
      <w:r w:rsidR="003871D1">
        <w:rPr>
          <w:lang w:eastAsia="en-US"/>
        </w:rPr>
        <w:t xml:space="preserve"> </w:t>
      </w:r>
      <w:r w:rsidR="00A57E50">
        <w:rPr>
          <w:lang w:eastAsia="en-US"/>
        </w:rPr>
        <w:t>Powinien umieć, pod nadzorem osoby doświadczonej, korzystając z właściwego protokołu, przeprowadzić</w:t>
      </w:r>
      <w:r w:rsidR="002A5A56">
        <w:rPr>
          <w:lang w:eastAsia="en-US"/>
        </w:rPr>
        <w:t xml:space="preserve"> pełną</w:t>
      </w:r>
      <w:r w:rsidR="00A57E50">
        <w:rPr>
          <w:lang w:eastAsia="en-US"/>
        </w:rPr>
        <w:t xml:space="preserve"> analizę western blot, wykonać test ELISA, przygotować komórki do badania cytometrycznego i samodzielnie zanalizować wyniki.</w:t>
      </w:r>
    </w:p>
    <w:p w14:paraId="201F37D5" w14:textId="50C5CEBB" w:rsidR="008F563E" w:rsidRDefault="008F563E" w:rsidP="001E6CDB">
      <w:pPr>
        <w:spacing w:line="276" w:lineRule="auto"/>
        <w:rPr>
          <w:b/>
          <w:lang w:eastAsia="en-US"/>
        </w:rPr>
      </w:pPr>
    </w:p>
    <w:p w14:paraId="6772C363" w14:textId="7E462579" w:rsidR="001E6CDB" w:rsidRDefault="0096539E" w:rsidP="001E6CDB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LITERATURA OBOWIĄZUJĄCA I UZUPEŁNIAJĄCA</w:t>
      </w:r>
    </w:p>
    <w:p w14:paraId="3B984335" w14:textId="77777777" w:rsidR="003871D1" w:rsidRDefault="003871D1" w:rsidP="001E6CDB">
      <w:pPr>
        <w:spacing w:line="276" w:lineRule="auto"/>
        <w:rPr>
          <w:b/>
          <w:lang w:eastAsia="en-US"/>
        </w:rPr>
      </w:pPr>
    </w:p>
    <w:p w14:paraId="1A26B868" w14:textId="20641C24" w:rsidR="001E6CDB" w:rsidRPr="003871D1" w:rsidRDefault="001E6CDB" w:rsidP="001E6CDB">
      <w:pPr>
        <w:spacing w:line="276" w:lineRule="auto"/>
        <w:rPr>
          <w:b/>
          <w:lang w:eastAsia="en-US"/>
        </w:rPr>
      </w:pPr>
      <w:r w:rsidRPr="003871D1">
        <w:rPr>
          <w:b/>
          <w:lang w:eastAsia="en-US"/>
        </w:rPr>
        <w:t>Literatura obowiązująca</w:t>
      </w:r>
    </w:p>
    <w:p w14:paraId="5A7D3842" w14:textId="77777777" w:rsidR="001E6CDB" w:rsidRPr="003871D1" w:rsidRDefault="001E6CDB" w:rsidP="001E6CDB">
      <w:pPr>
        <w:numPr>
          <w:ilvl w:val="0"/>
          <w:numId w:val="17"/>
        </w:numPr>
        <w:ind w:left="317"/>
      </w:pPr>
      <w:r w:rsidRPr="003871D1">
        <w:t>Materiały dydaktyczne dostarczone przez prowadzącego</w:t>
      </w:r>
    </w:p>
    <w:p w14:paraId="10E42AF3" w14:textId="77777777" w:rsidR="001E6CDB" w:rsidRPr="003871D1" w:rsidRDefault="001E6CDB" w:rsidP="001E6CDB">
      <w:pPr>
        <w:numPr>
          <w:ilvl w:val="0"/>
          <w:numId w:val="17"/>
        </w:numPr>
        <w:ind w:left="317"/>
      </w:pPr>
      <w:r w:rsidRPr="003871D1">
        <w:rPr>
          <w:lang w:val="en-US"/>
        </w:rPr>
        <w:t>Abbas AK, Lichtman AH, Pillai S. CELLULAR AND MOLECULAR IMMUNOLOGY</w:t>
      </w:r>
    </w:p>
    <w:p w14:paraId="1C506021" w14:textId="77777777" w:rsidR="001E6CDB" w:rsidRPr="003871D1" w:rsidRDefault="001E6CDB" w:rsidP="001E6CDB">
      <w:pPr>
        <w:ind w:left="317"/>
      </w:pPr>
      <w:r w:rsidRPr="003871D1">
        <w:t>Elsevier, wyd. 6 (2010) lub 7 (2012)</w:t>
      </w:r>
    </w:p>
    <w:p w14:paraId="5284A023" w14:textId="77777777" w:rsidR="001E6CDB" w:rsidRPr="003871D1" w:rsidRDefault="001E6CDB" w:rsidP="001E6CDB">
      <w:pPr>
        <w:numPr>
          <w:ilvl w:val="0"/>
          <w:numId w:val="17"/>
        </w:numPr>
        <w:ind w:left="317"/>
      </w:pPr>
      <w:r w:rsidRPr="003871D1">
        <w:t>Gołąb J, Jakóbisiak M, Lasek W, Stokłosa T. IMMUNOLOGIA. Wydawnictwo Naukowe PWN, wyd. 5 (2009) lub wyd. 6 (2012)</w:t>
      </w:r>
    </w:p>
    <w:p w14:paraId="28C5783D" w14:textId="77777777" w:rsidR="00E43AD4" w:rsidRDefault="00E43AD4" w:rsidP="001E6CDB">
      <w:pPr>
        <w:pStyle w:val="Tekstpodstawowy"/>
        <w:spacing w:line="240" w:lineRule="auto"/>
        <w:rPr>
          <w:b/>
          <w:sz w:val="24"/>
          <w:lang w:eastAsia="en-US"/>
        </w:rPr>
      </w:pPr>
    </w:p>
    <w:p w14:paraId="450049DD" w14:textId="0A16D3BC" w:rsidR="001E6CDB" w:rsidRPr="003871D1" w:rsidRDefault="001E6CDB" w:rsidP="001E6CDB">
      <w:pPr>
        <w:pStyle w:val="Tekstpodstawowy"/>
        <w:spacing w:line="240" w:lineRule="auto"/>
        <w:rPr>
          <w:b/>
          <w:sz w:val="24"/>
          <w:lang w:eastAsia="en-US"/>
        </w:rPr>
      </w:pPr>
      <w:r w:rsidRPr="003871D1">
        <w:rPr>
          <w:b/>
          <w:sz w:val="24"/>
          <w:lang w:eastAsia="en-US"/>
        </w:rPr>
        <w:t>Literatura uzupełniająca</w:t>
      </w:r>
    </w:p>
    <w:p w14:paraId="083A6DE0" w14:textId="371E7362" w:rsidR="0013702D" w:rsidRPr="003871D1" w:rsidRDefault="001E6CDB" w:rsidP="001E6CDB">
      <w:pPr>
        <w:tabs>
          <w:tab w:val="left" w:pos="5670"/>
        </w:tabs>
        <w:autoSpaceDE w:val="0"/>
        <w:jc w:val="both"/>
      </w:pPr>
      <w:r w:rsidRPr="003871D1">
        <w:t>Artykuły naukowe publikowane w fachowych czasopismach medycznych</w:t>
      </w:r>
      <w:r w:rsidRPr="003871D1">
        <w:rPr>
          <w:lang w:eastAsia="en-US"/>
        </w:rPr>
        <w:t>, dostępne m. in. w internetowej bazie danych PubMed</w:t>
      </w:r>
    </w:p>
    <w:p w14:paraId="4495EB6A" w14:textId="77777777" w:rsidR="0045753C" w:rsidRPr="003871D1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1CD6E9A6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0D54BD2B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0E465F39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>Zajęcia z przedmiotu Immunologia obejmują 15 godzin wykładów, 10 godzin seminariów oraz 25 godzin ćwiczeń.</w:t>
      </w:r>
    </w:p>
    <w:p w14:paraId="3CBFC1C8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 xml:space="preserve">Wykłady, seminaria i ćwiczenia są zajęciami </w:t>
      </w:r>
      <w:r w:rsidRPr="005D745F">
        <w:rPr>
          <w:sz w:val="22"/>
          <w:szCs w:val="22"/>
        </w:rPr>
        <w:t>obowiązkowymi.</w:t>
      </w:r>
      <w:r w:rsidRPr="00C85870">
        <w:rPr>
          <w:sz w:val="22"/>
          <w:szCs w:val="22"/>
        </w:rPr>
        <w:t xml:space="preserve"> W trakcie zajęć sprawdzana jest lista obecności.</w:t>
      </w:r>
    </w:p>
    <w:p w14:paraId="2379F8B7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>Po każdych 2 godzinach zajęć każdemu studentowi przysługuje 10 minut przerwy.</w:t>
      </w:r>
    </w:p>
    <w:p w14:paraId="19473CE7" w14:textId="77777777" w:rsidR="00A6222D" w:rsidRPr="00C85870" w:rsidRDefault="00A6222D" w:rsidP="00A6222D">
      <w:pPr>
        <w:pStyle w:val="Akapitzlist"/>
        <w:numPr>
          <w:ilvl w:val="0"/>
          <w:numId w:val="18"/>
        </w:numPr>
        <w:spacing w:after="120"/>
        <w:jc w:val="both"/>
      </w:pPr>
      <w:r w:rsidRPr="00C85870">
        <w:t xml:space="preserve">Nieobecność na zajęciach powinna być niezwłocznie pisemnie usprawiedliwiona, najpóźniej w terminie 3 dni od czasu zakończenia zwolnienia lekarskiego. We wszystkich przypadkach </w:t>
      </w:r>
      <w:r w:rsidRPr="00C85870">
        <w:lastRenderedPageBreak/>
        <w:t xml:space="preserve">nieobecności spowodowanych chorobą wymagane jest oficjalne zwolnienie lekarskie. W innych przypadkach zwolnienie poświadczone przez Dziekana Wydziału Lekarskiego II. </w:t>
      </w:r>
    </w:p>
    <w:p w14:paraId="5CF83B24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 xml:space="preserve">Studenci uczestniczą w zajęciach zgodnie z przydziałem do odpowiednich grup dydaktycznych; wszelkie zmiany są uzgadniane z prowadzącym.  </w:t>
      </w:r>
    </w:p>
    <w:p w14:paraId="3A01AA06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>Zajęcia odbywają się w salach seminaryjnych/ćwiczeniowych zgodnie z informacją podaną w planie zajęć; w przypadku zmian studenci informowani są przez prowadzącego zajęcia.</w:t>
      </w:r>
    </w:p>
    <w:p w14:paraId="6CE468C4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>Student jest zobowiązany do prowadzenia notatek z materiału prezentowanego w trakcie zajęć.</w:t>
      </w:r>
    </w:p>
    <w:p w14:paraId="11941713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>Do każdego seminarium i ćwiczeń należy przygotować się teoretycznie w oparciu o wskazaną przez prowadzącego literaturę i materiały.</w:t>
      </w:r>
    </w:p>
    <w:p w14:paraId="7945EEB8" w14:textId="77777777" w:rsidR="00A6222D" w:rsidRPr="00C85870" w:rsidRDefault="00A6222D" w:rsidP="00A6222D">
      <w:pPr>
        <w:pStyle w:val="Akapitzlist"/>
        <w:numPr>
          <w:ilvl w:val="0"/>
          <w:numId w:val="18"/>
        </w:numPr>
        <w:spacing w:after="120"/>
        <w:jc w:val="both"/>
      </w:pPr>
      <w:r w:rsidRPr="00C85870">
        <w:rPr>
          <w:color w:val="000000"/>
        </w:rPr>
        <w:t>Na początku każdego seminarium może odbyć się kolokwium sprawdzające stopień opanowania dotychczas prezentowanego materiału.</w:t>
      </w:r>
    </w:p>
    <w:p w14:paraId="0AE3F93D" w14:textId="77777777" w:rsidR="00A6222D" w:rsidRPr="00C85870" w:rsidRDefault="00A6222D" w:rsidP="00A6222D">
      <w:pPr>
        <w:pStyle w:val="Akapitzlist"/>
        <w:spacing w:after="120"/>
        <w:ind w:left="425"/>
        <w:jc w:val="both"/>
      </w:pPr>
    </w:p>
    <w:p w14:paraId="66DD5E51" w14:textId="77777777" w:rsidR="00A6222D" w:rsidRPr="00C85870" w:rsidRDefault="00A6222D" w:rsidP="00A6222D">
      <w:pPr>
        <w:pStyle w:val="Akapitzlist"/>
        <w:numPr>
          <w:ilvl w:val="0"/>
          <w:numId w:val="18"/>
        </w:numPr>
        <w:spacing w:after="120"/>
        <w:jc w:val="both"/>
      </w:pPr>
      <w:r w:rsidRPr="00C85870">
        <w:rPr>
          <w:color w:val="000000"/>
        </w:rPr>
        <w:t>Na początku każdych ćwiczeń będzie sprawdzana wiedza dotycząca zajęć poprzednich.</w:t>
      </w:r>
    </w:p>
    <w:p w14:paraId="55783C5D" w14:textId="77777777" w:rsidR="00A6222D" w:rsidRPr="00C85870" w:rsidRDefault="00A6222D" w:rsidP="00A6222D">
      <w:pPr>
        <w:pStyle w:val="Akapitzlist"/>
        <w:spacing w:after="120"/>
        <w:ind w:left="425"/>
        <w:jc w:val="both"/>
      </w:pPr>
    </w:p>
    <w:p w14:paraId="00B0AE0E" w14:textId="77777777" w:rsidR="00A6222D" w:rsidRPr="00C85870" w:rsidRDefault="00A6222D" w:rsidP="00A6222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C85870">
        <w:rPr>
          <w:color w:val="000000"/>
        </w:rPr>
        <w:t>Każdy ze studentów jest zobowiązany do przygotowania i przedstawienia jednej prezentacji ustnej dotyczącej wybranych zagadnień z zakresu immunologii, temat do uzgodnienia z prowadzącym zajęcia.</w:t>
      </w:r>
    </w:p>
    <w:p w14:paraId="151202A4" w14:textId="77777777" w:rsidR="00A6222D" w:rsidRPr="00C85870" w:rsidRDefault="00A6222D" w:rsidP="00A6222D">
      <w:pPr>
        <w:pStyle w:val="Akapitzlist"/>
        <w:spacing w:before="120" w:after="120"/>
        <w:ind w:left="425"/>
        <w:jc w:val="both"/>
      </w:pPr>
    </w:p>
    <w:p w14:paraId="6EFBFFDB" w14:textId="77777777" w:rsidR="00A6222D" w:rsidRPr="00C85870" w:rsidRDefault="00A6222D" w:rsidP="00A6222D">
      <w:pPr>
        <w:pStyle w:val="Akapitzlist"/>
        <w:numPr>
          <w:ilvl w:val="0"/>
          <w:numId w:val="18"/>
        </w:numPr>
        <w:spacing w:before="120" w:after="120"/>
        <w:jc w:val="both"/>
      </w:pPr>
      <w:r w:rsidRPr="00C85870">
        <w:t>Student jest zobowiązany do aktywnego uczestnictwa w seminarium oraz ćwiczeniach.</w:t>
      </w:r>
    </w:p>
    <w:p w14:paraId="54935554" w14:textId="77777777" w:rsidR="00A6222D" w:rsidRPr="00C85870" w:rsidRDefault="00A6222D" w:rsidP="00A6222D">
      <w:pPr>
        <w:pStyle w:val="Akapitzlist"/>
      </w:pPr>
    </w:p>
    <w:p w14:paraId="333D54CD" w14:textId="77777777" w:rsidR="00A6222D" w:rsidRPr="00C85870" w:rsidRDefault="00A6222D" w:rsidP="00A6222D">
      <w:pPr>
        <w:pStyle w:val="Akapitzlist"/>
        <w:numPr>
          <w:ilvl w:val="0"/>
          <w:numId w:val="18"/>
        </w:numPr>
        <w:spacing w:before="120" w:after="120"/>
        <w:jc w:val="both"/>
      </w:pPr>
      <w:r w:rsidRPr="00C85870">
        <w:t>Prowadzący zajęcia zastrzegają sobie prawo do zmian w sylabusie przedmiotu.</w:t>
      </w:r>
    </w:p>
    <w:p w14:paraId="52EB1BC8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>W czasie ćwiczeń obowiązuje przestrzeganie ogólnych zasad BHP oraz regulaminu BHP, który obowiązuje w danej pracowni. Regulamin prezentowany jest na pierwszych zajęciach.</w:t>
      </w:r>
    </w:p>
    <w:p w14:paraId="2095A34C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 xml:space="preserve">W przypadku zachowania niezgodnego z ogólnie przyjętymi normami społecznymi oraz w przypadku nie respektowania regulaminu studiów i regulaminu wewnętrznego Katedry, student może być usunięty z zajęć i jest to równoznaczne z ich niezaliczeniem. </w:t>
      </w:r>
    </w:p>
    <w:p w14:paraId="27A653B5" w14:textId="77777777" w:rsidR="00A6222D" w:rsidRPr="00C85870" w:rsidRDefault="00A6222D" w:rsidP="00A6222D">
      <w:pPr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>Ze wszystkimi sprawami, które wynikną w toku zajęć należy zgłaszać się do Opiekuna Roku, który sprawy kontrowersyjne referuje i rozwiązuje wspólnie z Kierownikiem Katedry.</w:t>
      </w:r>
    </w:p>
    <w:p w14:paraId="32E609F7" w14:textId="77777777" w:rsidR="00A6222D" w:rsidRPr="00C85870" w:rsidRDefault="00A6222D" w:rsidP="00A6222D">
      <w:pPr>
        <w:numPr>
          <w:ilvl w:val="0"/>
          <w:numId w:val="18"/>
        </w:numPr>
        <w:tabs>
          <w:tab w:val="clear" w:pos="425"/>
        </w:tabs>
        <w:spacing w:after="120"/>
        <w:jc w:val="both"/>
        <w:rPr>
          <w:sz w:val="22"/>
          <w:szCs w:val="22"/>
        </w:rPr>
      </w:pPr>
      <w:r w:rsidRPr="00C85870">
        <w:rPr>
          <w:sz w:val="22"/>
          <w:szCs w:val="22"/>
        </w:rPr>
        <w:t>Na ostatnich zajęciach studenci otrzymują do uzupełnienia ankietę dotyczącą odbytego kursu w celu weryfikacji formy i skuteczności prowadzonych zajęć.</w:t>
      </w: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40EE05C9" w14:textId="041E3409" w:rsidR="00A6222D" w:rsidRDefault="00950A0C" w:rsidP="00A6222D">
      <w:pPr>
        <w:jc w:val="both"/>
        <w:rPr>
          <w:sz w:val="22"/>
          <w:szCs w:val="22"/>
          <w:u w:val="single"/>
        </w:rPr>
      </w:pPr>
      <w:r w:rsidRPr="00FC5A36">
        <w:rPr>
          <w:b/>
          <w:color w:val="000000" w:themeColor="text1"/>
        </w:rPr>
        <w:t xml:space="preserve">    </w:t>
      </w:r>
      <w:r w:rsidR="00A6222D" w:rsidRPr="00C85870">
        <w:rPr>
          <w:sz w:val="22"/>
          <w:szCs w:val="22"/>
          <w:u w:val="single"/>
        </w:rPr>
        <w:t>Zasady organizacyjno-porządkowe</w:t>
      </w:r>
    </w:p>
    <w:p w14:paraId="15BEFEE9" w14:textId="77777777" w:rsidR="00A6222D" w:rsidRPr="00C85870" w:rsidRDefault="00A6222D" w:rsidP="00A6222D">
      <w:pPr>
        <w:jc w:val="both"/>
        <w:rPr>
          <w:sz w:val="22"/>
          <w:szCs w:val="22"/>
          <w:u w:val="single"/>
        </w:rPr>
      </w:pPr>
    </w:p>
    <w:p w14:paraId="0660C2AC" w14:textId="77777777" w:rsidR="00A6222D" w:rsidRPr="00C85870" w:rsidRDefault="00A6222D" w:rsidP="00A6222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425" w:hanging="357"/>
        <w:jc w:val="both"/>
        <w:rPr>
          <w:color w:val="000000"/>
        </w:rPr>
      </w:pPr>
      <w:r w:rsidRPr="00C85870">
        <w:rPr>
          <w:color w:val="000000"/>
        </w:rPr>
        <w:t>W trakcie zajęć dłuższych niż 2 godziny lekcyjne odbywa się 10 minutowa przerwa</w:t>
      </w:r>
    </w:p>
    <w:p w14:paraId="4918F203" w14:textId="77777777" w:rsidR="00A6222D" w:rsidRPr="00C85870" w:rsidRDefault="00A6222D" w:rsidP="00A6222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425" w:hanging="357"/>
        <w:jc w:val="both"/>
        <w:rPr>
          <w:color w:val="000000"/>
        </w:rPr>
      </w:pPr>
      <w:r w:rsidRPr="00C85870">
        <w:rPr>
          <w:color w:val="000000"/>
        </w:rPr>
        <w:t xml:space="preserve">W czasie seminariów oraz ćwiczeń obowiązuje zakaz </w:t>
      </w:r>
      <w:r w:rsidRPr="00C85870">
        <w:t>spożywania posiłków i picia napojów.</w:t>
      </w:r>
    </w:p>
    <w:p w14:paraId="5D093966" w14:textId="77777777" w:rsidR="00A6222D" w:rsidRPr="00C85870" w:rsidRDefault="00A6222D" w:rsidP="00A6222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425" w:hanging="357"/>
        <w:jc w:val="both"/>
        <w:rPr>
          <w:color w:val="000000"/>
        </w:rPr>
      </w:pPr>
      <w:r w:rsidRPr="00C85870">
        <w:rPr>
          <w:color w:val="000000"/>
        </w:rPr>
        <w:t>W czasie seminariów obowiązuje zakaz używania telefonów komórkowych.</w:t>
      </w:r>
    </w:p>
    <w:p w14:paraId="45EBF5DD" w14:textId="77777777" w:rsidR="00A6222D" w:rsidRPr="00C85870" w:rsidRDefault="00A6222D" w:rsidP="00A6222D">
      <w:pPr>
        <w:pStyle w:val="Akapitzlist"/>
        <w:numPr>
          <w:ilvl w:val="0"/>
          <w:numId w:val="19"/>
        </w:numPr>
        <w:ind w:left="425" w:hanging="357"/>
        <w:jc w:val="both"/>
      </w:pPr>
      <w:r w:rsidRPr="00C85870">
        <w:t>Podręczniki są dostępne w Katedrze Biotechnologii Medycznej.</w:t>
      </w:r>
    </w:p>
    <w:p w14:paraId="08440A23" w14:textId="77777777" w:rsidR="00A6222D" w:rsidRPr="00C85870" w:rsidRDefault="00A6222D" w:rsidP="00A6222D">
      <w:pPr>
        <w:jc w:val="both"/>
        <w:rPr>
          <w:sz w:val="22"/>
          <w:szCs w:val="22"/>
        </w:rPr>
      </w:pPr>
    </w:p>
    <w:p w14:paraId="16443F0A" w14:textId="475CA3AA" w:rsidR="00950A0C" w:rsidRPr="00A6222D" w:rsidRDefault="00950A0C" w:rsidP="00D37C1F">
      <w:pPr>
        <w:spacing w:line="238" w:lineRule="auto"/>
        <w:rPr>
          <w:b/>
          <w:color w:val="003300"/>
        </w:rPr>
      </w:pPr>
    </w:p>
    <w:p w14:paraId="70F9306E" w14:textId="21042177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</w:p>
    <w:p w14:paraId="523384E4" w14:textId="68E5370F" w:rsidR="0013702D" w:rsidRPr="00950A0C" w:rsidRDefault="0013702D" w:rsidP="00E846C5">
      <w:pPr>
        <w:jc w:val="both"/>
        <w:rPr>
          <w:b/>
          <w:bCs/>
          <w:color w:val="0000FF"/>
        </w:rPr>
      </w:pPr>
    </w:p>
    <w:p w14:paraId="1DCD0A8D" w14:textId="77777777" w:rsidR="00A6222D" w:rsidRPr="00C85870" w:rsidRDefault="00A6222D" w:rsidP="00A6222D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357"/>
        <w:jc w:val="both"/>
      </w:pPr>
      <w:r w:rsidRPr="00C85870">
        <w:t xml:space="preserve">Zaliczenie przedmiotu Immunologia odbywa się po zdaniu pisemnego </w:t>
      </w:r>
      <w:r>
        <w:t xml:space="preserve">kolokwium z zakresu ćwiczeń oraz </w:t>
      </w:r>
      <w:r w:rsidRPr="00C85870">
        <w:t>egzaminu końcowego</w:t>
      </w:r>
      <w:r>
        <w:t xml:space="preserve"> z zakresu wykładów i seminariów</w:t>
      </w:r>
      <w:r w:rsidRPr="00C85870">
        <w:t>. Egzamin ma formę testu, 30 pytań, jedna odpowiedź prawidłowa. Próg zaliczenia wynosi 60%. Wyniki są podawane w ciągu 5 dni roboczych od daty egzaminu, drogą elektroniczną.</w:t>
      </w:r>
    </w:p>
    <w:p w14:paraId="5E1A7F77" w14:textId="77777777" w:rsidR="00A6222D" w:rsidRPr="00C85870" w:rsidRDefault="00A6222D" w:rsidP="00A6222D">
      <w:pPr>
        <w:pStyle w:val="Akapitzlist"/>
        <w:widowControl w:val="0"/>
        <w:autoSpaceDE w:val="0"/>
        <w:autoSpaceDN w:val="0"/>
        <w:adjustRightInd w:val="0"/>
        <w:spacing w:after="120"/>
        <w:ind w:left="425"/>
        <w:jc w:val="both"/>
      </w:pPr>
    </w:p>
    <w:p w14:paraId="3998D392" w14:textId="77777777" w:rsidR="00A6222D" w:rsidRPr="00C85870" w:rsidRDefault="00A6222D" w:rsidP="00A6222D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357"/>
        <w:jc w:val="both"/>
      </w:pPr>
      <w:r w:rsidRPr="00C85870">
        <w:t>Warunkiem dopuszczenia do egzaminu jest obecność i aktywność na wszystkich wymaganych seminariach, przygotowanie i przedstawienie krótkiej prezentacji ustnej dotyczącej wybranych zagadnień z zakresu immunologii.</w:t>
      </w:r>
    </w:p>
    <w:p w14:paraId="36F94BA0" w14:textId="77777777" w:rsidR="00A6222D" w:rsidRPr="00C85870" w:rsidRDefault="00A6222D" w:rsidP="00A6222D">
      <w:pPr>
        <w:pStyle w:val="Akapitzlist"/>
        <w:widowControl w:val="0"/>
        <w:autoSpaceDE w:val="0"/>
        <w:autoSpaceDN w:val="0"/>
        <w:adjustRightInd w:val="0"/>
        <w:spacing w:after="120"/>
        <w:ind w:left="0"/>
        <w:jc w:val="both"/>
      </w:pPr>
    </w:p>
    <w:p w14:paraId="14D70CD3" w14:textId="77777777" w:rsidR="00A6222D" w:rsidRPr="00C85870" w:rsidRDefault="00A6222D" w:rsidP="00A6222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357"/>
        <w:jc w:val="both"/>
        <w:rPr>
          <w:lang w:val="en-US"/>
        </w:rPr>
      </w:pPr>
      <w:r w:rsidRPr="00C85870">
        <w:rPr>
          <w:color w:val="000000"/>
        </w:rPr>
        <w:lastRenderedPageBreak/>
        <w:t xml:space="preserve">Nieuczciwe zachowania podczas egzaminu skutkują oceną niedostateczną. </w:t>
      </w:r>
    </w:p>
    <w:p w14:paraId="1913AA02" w14:textId="77777777" w:rsidR="00A6222D" w:rsidRPr="00C85870" w:rsidRDefault="00A6222D" w:rsidP="00A6222D">
      <w:pPr>
        <w:pStyle w:val="Akapitzlist"/>
        <w:autoSpaceDE w:val="0"/>
        <w:autoSpaceDN w:val="0"/>
        <w:adjustRightInd w:val="0"/>
        <w:spacing w:after="120"/>
        <w:ind w:left="425"/>
        <w:jc w:val="both"/>
        <w:rPr>
          <w:lang w:val="en-US"/>
        </w:rPr>
      </w:pPr>
    </w:p>
    <w:p w14:paraId="226DE0C6" w14:textId="77777777" w:rsidR="00A6222D" w:rsidRPr="00C85870" w:rsidRDefault="00A6222D" w:rsidP="00A6222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357"/>
        <w:jc w:val="both"/>
      </w:pPr>
      <w:r w:rsidRPr="00C85870">
        <w:rPr>
          <w:color w:val="000000"/>
        </w:rPr>
        <w:t>Otrzymanie oceny niedostatecznej z egzaminu uprawnia studenta do dwukrotnego jej poprawienia w terminie uzgodnionym z koordynatorem przedmiotu</w:t>
      </w:r>
    </w:p>
    <w:p w14:paraId="50D5C065" w14:textId="41C0CB74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49DDDE6F" w14:textId="77777777" w:rsidR="002A5A56" w:rsidRDefault="002A5A56" w:rsidP="002A5A56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 n/d</w:t>
      </w:r>
    </w:p>
    <w:p w14:paraId="5FAB1E31" w14:textId="77777777" w:rsidR="002A5A56" w:rsidRDefault="002A5A56" w:rsidP="002A5A56">
      <w:pPr>
        <w:jc w:val="both"/>
        <w:rPr>
          <w:b/>
          <w:bCs/>
        </w:rPr>
      </w:pPr>
    </w:p>
    <w:p w14:paraId="42B21DC9" w14:textId="77777777" w:rsidR="002A5A56" w:rsidRPr="00FC5A36" w:rsidRDefault="002A5A56" w:rsidP="002A5A56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</w:t>
      </w:r>
    </w:p>
    <w:p w14:paraId="462D75A5" w14:textId="77777777" w:rsidR="002A5A56" w:rsidRDefault="002A5A56" w:rsidP="002A5A56">
      <w:pPr>
        <w:ind w:left="360"/>
        <w:jc w:val="both"/>
        <w:rPr>
          <w:b/>
          <w:bCs/>
        </w:rPr>
      </w:pPr>
    </w:p>
    <w:p w14:paraId="4DEE4292" w14:textId="77777777" w:rsidR="00CE3D48" w:rsidRDefault="00CE3D48" w:rsidP="002A5A56">
      <w:pPr>
        <w:ind w:left="360"/>
        <w:jc w:val="both"/>
        <w:rPr>
          <w:b/>
          <w:bCs/>
        </w:rPr>
      </w:pPr>
    </w:p>
    <w:p w14:paraId="59071BAC" w14:textId="77777777" w:rsidR="002A5A56" w:rsidRDefault="002A5A56" w:rsidP="002A5A56">
      <w:pPr>
        <w:jc w:val="both"/>
        <w:rPr>
          <w:bCs/>
        </w:rPr>
      </w:pPr>
    </w:p>
    <w:p w14:paraId="00BD826F" w14:textId="77777777" w:rsidR="002A5A56" w:rsidRPr="00285737" w:rsidRDefault="002A5A56" w:rsidP="002A5A56">
      <w:pPr>
        <w:jc w:val="both"/>
        <w:rPr>
          <w:bCs/>
        </w:rPr>
      </w:pPr>
      <w:r w:rsidRPr="00285737">
        <w:rPr>
          <w:bCs/>
        </w:rPr>
        <w:t>Dr hab. n. med. Dariusz Iżycki</w:t>
      </w:r>
    </w:p>
    <w:p w14:paraId="014193DA" w14:textId="77777777" w:rsidR="002A5A56" w:rsidRDefault="002A5A56" w:rsidP="002A5A56">
      <w:pPr>
        <w:jc w:val="both"/>
        <w:rPr>
          <w:b/>
          <w:bCs/>
        </w:rPr>
      </w:pPr>
    </w:p>
    <w:p w14:paraId="4BD1B629" w14:textId="77777777" w:rsidR="002A5A56" w:rsidRPr="00B636FA" w:rsidRDefault="002A5A56" w:rsidP="002A5A56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</w:p>
    <w:p w14:paraId="47462F6D" w14:textId="77777777" w:rsidR="002A5A56" w:rsidRDefault="002A5A56" w:rsidP="002A5A56"/>
    <w:p w14:paraId="6A9642BC" w14:textId="77777777" w:rsidR="002A5A56" w:rsidRDefault="002A5A56" w:rsidP="002A5A56"/>
    <w:p w14:paraId="487CA6DE" w14:textId="77777777" w:rsidR="00CE3D48" w:rsidRDefault="00CE3D48" w:rsidP="002A5A56">
      <w:bookmarkStart w:id="0" w:name="_GoBack"/>
      <w:bookmarkEnd w:id="0"/>
    </w:p>
    <w:p w14:paraId="218B13D8" w14:textId="77777777" w:rsidR="002A5A56" w:rsidRDefault="002A5A56" w:rsidP="002A5A56">
      <w:r>
        <w:t>Dr n .med. Urszula Kazimierczak, Dr n. med. Anna Przybyła</w:t>
      </w:r>
    </w:p>
    <w:p w14:paraId="325FC793" w14:textId="77777777" w:rsidR="0013702D" w:rsidRDefault="0013702D"/>
    <w:sectPr w:rsidR="0013702D" w:rsidSect="007121DC">
      <w:footerReference w:type="default" r:id="rId14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B2EA2" w14:textId="77777777" w:rsidR="00DF6FB3" w:rsidRDefault="00DF6FB3" w:rsidP="00FF41DA">
      <w:r>
        <w:separator/>
      </w:r>
    </w:p>
  </w:endnote>
  <w:endnote w:type="continuationSeparator" w:id="0">
    <w:p w14:paraId="4C4DFA1D" w14:textId="77777777" w:rsidR="00DF6FB3" w:rsidRDefault="00DF6FB3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90FE" w14:textId="544E2F62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E3D48">
      <w:rPr>
        <w:noProof/>
      </w:rPr>
      <w:t>1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9223D" w14:textId="77777777" w:rsidR="00DF6FB3" w:rsidRDefault="00DF6FB3" w:rsidP="00FF41DA">
      <w:r>
        <w:separator/>
      </w:r>
    </w:p>
  </w:footnote>
  <w:footnote w:type="continuationSeparator" w:id="0">
    <w:p w14:paraId="7447C194" w14:textId="77777777" w:rsidR="00DF6FB3" w:rsidRDefault="00DF6FB3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D47341"/>
    <w:multiLevelType w:val="hybridMultilevel"/>
    <w:tmpl w:val="B3ECE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D44ED3"/>
    <w:multiLevelType w:val="hybridMultilevel"/>
    <w:tmpl w:val="A03E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A3240"/>
    <w:multiLevelType w:val="hybridMultilevel"/>
    <w:tmpl w:val="080E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A582C2A"/>
    <w:multiLevelType w:val="hybridMultilevel"/>
    <w:tmpl w:val="BAD6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D455E5"/>
    <w:multiLevelType w:val="singleLevel"/>
    <w:tmpl w:val="5FD455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7"/>
  </w:num>
  <w:num w:numId="12">
    <w:abstractNumId w:val="16"/>
  </w:num>
  <w:num w:numId="13">
    <w:abstractNumId w:val="4"/>
  </w:num>
  <w:num w:numId="14">
    <w:abstractNumId w:val="6"/>
  </w:num>
  <w:num w:numId="15">
    <w:abstractNumId w:val="2"/>
  </w:num>
  <w:num w:numId="16">
    <w:abstractNumId w:val="17"/>
  </w:num>
  <w:num w:numId="17">
    <w:abstractNumId w:val="11"/>
  </w:num>
  <w:num w:numId="18">
    <w:abstractNumId w:val="1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2757"/>
    <w:rsid w:val="000072D1"/>
    <w:rsid w:val="00020D2B"/>
    <w:rsid w:val="00024F7C"/>
    <w:rsid w:val="00053CDA"/>
    <w:rsid w:val="00067F26"/>
    <w:rsid w:val="00096782"/>
    <w:rsid w:val="000B59D4"/>
    <w:rsid w:val="000E65EC"/>
    <w:rsid w:val="00105D43"/>
    <w:rsid w:val="0013702D"/>
    <w:rsid w:val="00150259"/>
    <w:rsid w:val="0018460E"/>
    <w:rsid w:val="001D129E"/>
    <w:rsid w:val="001E6CDB"/>
    <w:rsid w:val="00293370"/>
    <w:rsid w:val="002942E7"/>
    <w:rsid w:val="002962F9"/>
    <w:rsid w:val="002A5A56"/>
    <w:rsid w:val="002B289A"/>
    <w:rsid w:val="002C0686"/>
    <w:rsid w:val="002E6E59"/>
    <w:rsid w:val="002F3139"/>
    <w:rsid w:val="003865A3"/>
    <w:rsid w:val="003871D1"/>
    <w:rsid w:val="0039144B"/>
    <w:rsid w:val="00397C8E"/>
    <w:rsid w:val="003A35B8"/>
    <w:rsid w:val="003E1790"/>
    <w:rsid w:val="003E47CE"/>
    <w:rsid w:val="003F4142"/>
    <w:rsid w:val="0045753C"/>
    <w:rsid w:val="00461591"/>
    <w:rsid w:val="004753CB"/>
    <w:rsid w:val="00476C46"/>
    <w:rsid w:val="004C774E"/>
    <w:rsid w:val="00501889"/>
    <w:rsid w:val="005068E8"/>
    <w:rsid w:val="005338F3"/>
    <w:rsid w:val="00534425"/>
    <w:rsid w:val="0056717B"/>
    <w:rsid w:val="00575DA1"/>
    <w:rsid w:val="00576057"/>
    <w:rsid w:val="005D745F"/>
    <w:rsid w:val="005E3FF7"/>
    <w:rsid w:val="00600AC9"/>
    <w:rsid w:val="00620234"/>
    <w:rsid w:val="0069789F"/>
    <w:rsid w:val="006B1A2A"/>
    <w:rsid w:val="006B581E"/>
    <w:rsid w:val="006F5B0B"/>
    <w:rsid w:val="0070389B"/>
    <w:rsid w:val="007121DC"/>
    <w:rsid w:val="00723227"/>
    <w:rsid w:val="007519BB"/>
    <w:rsid w:val="00770C55"/>
    <w:rsid w:val="007A38E3"/>
    <w:rsid w:val="007A39D1"/>
    <w:rsid w:val="007A6A1E"/>
    <w:rsid w:val="007D003C"/>
    <w:rsid w:val="007F6BF2"/>
    <w:rsid w:val="00815B2F"/>
    <w:rsid w:val="008858DD"/>
    <w:rsid w:val="008A6CC4"/>
    <w:rsid w:val="008F563E"/>
    <w:rsid w:val="00902127"/>
    <w:rsid w:val="00926880"/>
    <w:rsid w:val="00940E70"/>
    <w:rsid w:val="00950530"/>
    <w:rsid w:val="00950A0C"/>
    <w:rsid w:val="0096539E"/>
    <w:rsid w:val="00985B58"/>
    <w:rsid w:val="00990E97"/>
    <w:rsid w:val="00992706"/>
    <w:rsid w:val="009D791F"/>
    <w:rsid w:val="009E21EE"/>
    <w:rsid w:val="009F0C34"/>
    <w:rsid w:val="00A269CE"/>
    <w:rsid w:val="00A52A2A"/>
    <w:rsid w:val="00A57E50"/>
    <w:rsid w:val="00A6222D"/>
    <w:rsid w:val="00AA5364"/>
    <w:rsid w:val="00AC47EA"/>
    <w:rsid w:val="00AF2D86"/>
    <w:rsid w:val="00B04C0E"/>
    <w:rsid w:val="00B3324D"/>
    <w:rsid w:val="00B43DA7"/>
    <w:rsid w:val="00B636FA"/>
    <w:rsid w:val="00B66672"/>
    <w:rsid w:val="00B8009C"/>
    <w:rsid w:val="00BE4DDF"/>
    <w:rsid w:val="00BF21E3"/>
    <w:rsid w:val="00C0586F"/>
    <w:rsid w:val="00C20BAA"/>
    <w:rsid w:val="00C6561F"/>
    <w:rsid w:val="00CA7DB9"/>
    <w:rsid w:val="00CB44E4"/>
    <w:rsid w:val="00CD4895"/>
    <w:rsid w:val="00CE3D48"/>
    <w:rsid w:val="00D37C1F"/>
    <w:rsid w:val="00D51629"/>
    <w:rsid w:val="00D52197"/>
    <w:rsid w:val="00D84F82"/>
    <w:rsid w:val="00DA1854"/>
    <w:rsid w:val="00DF5BDF"/>
    <w:rsid w:val="00DF6FB3"/>
    <w:rsid w:val="00E1283F"/>
    <w:rsid w:val="00E364AE"/>
    <w:rsid w:val="00E43AD4"/>
    <w:rsid w:val="00E846C5"/>
    <w:rsid w:val="00F1161C"/>
    <w:rsid w:val="00F3622A"/>
    <w:rsid w:val="00F77528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iza.kwiatkowska@wco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kazimiercza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iza.kwiatkowska@wco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drzej.mackiewicz@wc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bm.ump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2764-D802-4D45-A1D3-A8B95022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1860</Words>
  <Characters>11162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Ula</cp:lastModifiedBy>
  <cp:revision>3</cp:revision>
  <dcterms:created xsi:type="dcterms:W3CDTF">2018-06-04T22:09:00Z</dcterms:created>
  <dcterms:modified xsi:type="dcterms:W3CDTF">2018-06-04T22:10:00Z</dcterms:modified>
</cp:coreProperties>
</file>