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AC5" w:rsidRDefault="00373AC5" w:rsidP="00373AC5">
      <w:pPr>
        <w:keepNext/>
        <w:keepLines/>
        <w:spacing w:before="240" w:after="0" w:line="240" w:lineRule="auto"/>
        <w:jc w:val="center"/>
        <w:outlineLvl w:val="0"/>
        <w:rPr>
          <w:rFonts w:asciiTheme="minorHAnsi" w:eastAsia="Times New Roman" w:hAnsiTheme="minorHAnsi" w:cstheme="minorHAnsi"/>
          <w:b/>
          <w:color w:val="365F91"/>
          <w:sz w:val="28"/>
          <w:szCs w:val="28"/>
        </w:rPr>
      </w:pPr>
      <w:r>
        <w:rPr>
          <w:rFonts w:asciiTheme="minorHAnsi" w:eastAsia="Times New Roman" w:hAnsiTheme="minorHAnsi" w:cstheme="minorHAnsi"/>
          <w:b/>
          <w:color w:val="365F91"/>
          <w:sz w:val="28"/>
          <w:szCs w:val="28"/>
        </w:rPr>
        <w:t xml:space="preserve">Program studiów </w:t>
      </w:r>
    </w:p>
    <w:p w:rsidR="00373AC5" w:rsidRDefault="00373AC5" w:rsidP="00373AC5">
      <w:pPr>
        <w:keepNext/>
        <w:keepLines/>
        <w:spacing w:before="240" w:after="0" w:line="240" w:lineRule="auto"/>
        <w:jc w:val="center"/>
        <w:outlineLvl w:val="0"/>
        <w:rPr>
          <w:rFonts w:eastAsia="Times New Roman"/>
          <w:b/>
          <w:color w:val="365F91"/>
          <w:sz w:val="28"/>
          <w:szCs w:val="28"/>
        </w:rPr>
      </w:pPr>
      <w:r>
        <w:rPr>
          <w:rFonts w:eastAsia="Times New Roman"/>
          <w:b/>
          <w:color w:val="365F91"/>
          <w:sz w:val="28"/>
          <w:szCs w:val="28"/>
        </w:rPr>
        <w:t xml:space="preserve">Kierunku: Dietetyka I stopnia </w:t>
      </w:r>
      <w:r w:rsidR="00AA12F7">
        <w:rPr>
          <w:rFonts w:eastAsia="Times New Roman"/>
          <w:b/>
          <w:color w:val="365F91"/>
          <w:sz w:val="28"/>
          <w:szCs w:val="28"/>
        </w:rPr>
        <w:t>od</w:t>
      </w:r>
      <w:bookmarkStart w:id="0" w:name="_GoBack"/>
      <w:bookmarkEnd w:id="0"/>
      <w:r w:rsidR="00916E96">
        <w:rPr>
          <w:rFonts w:eastAsia="Times New Roman"/>
          <w:b/>
          <w:color w:val="365F91"/>
          <w:sz w:val="28"/>
          <w:szCs w:val="28"/>
        </w:rPr>
        <w:t xml:space="preserve"> naboru</w:t>
      </w:r>
      <w:r>
        <w:rPr>
          <w:rFonts w:eastAsia="Times New Roman"/>
          <w:b/>
          <w:color w:val="365F91"/>
          <w:sz w:val="28"/>
          <w:szCs w:val="28"/>
        </w:rPr>
        <w:t xml:space="preserve"> 202</w:t>
      </w:r>
      <w:r w:rsidR="008A44CA">
        <w:rPr>
          <w:rFonts w:eastAsia="Times New Roman"/>
          <w:b/>
          <w:color w:val="365F91"/>
          <w:sz w:val="28"/>
          <w:szCs w:val="28"/>
        </w:rPr>
        <w:t>4</w:t>
      </w:r>
      <w:r>
        <w:rPr>
          <w:rFonts w:eastAsia="Times New Roman"/>
          <w:b/>
          <w:color w:val="365F91"/>
          <w:sz w:val="28"/>
          <w:szCs w:val="28"/>
        </w:rPr>
        <w:t>/2025</w:t>
      </w:r>
    </w:p>
    <w:p w:rsidR="00373AC5" w:rsidRDefault="00373AC5" w:rsidP="00373AC5">
      <w:pPr>
        <w:keepNext/>
        <w:keepLines/>
        <w:spacing w:before="240" w:after="0" w:line="240" w:lineRule="auto"/>
        <w:jc w:val="center"/>
        <w:outlineLvl w:val="0"/>
        <w:rPr>
          <w:rFonts w:asciiTheme="minorHAnsi" w:eastAsia="Times New Roman" w:hAnsiTheme="minorHAnsi" w:cstheme="minorHAnsi"/>
          <w:b/>
          <w:color w:val="FF0000"/>
          <w:sz w:val="28"/>
          <w:szCs w:val="28"/>
        </w:rPr>
      </w:pPr>
      <w:r>
        <w:rPr>
          <w:rFonts w:asciiTheme="minorHAnsi" w:eastAsia="Times New Roman" w:hAnsiTheme="minorHAnsi" w:cstheme="minorHAnsi"/>
          <w:b/>
          <w:color w:val="365F91"/>
          <w:sz w:val="28"/>
          <w:szCs w:val="28"/>
        </w:rPr>
        <w:t>Uniwersytetu Medycznego im. Karola Marcinkowskiego w Poznaniu</w:t>
      </w:r>
    </w:p>
    <w:p w:rsidR="00373AC5" w:rsidRDefault="00373AC5" w:rsidP="00373AC5">
      <w:pPr>
        <w:keepNext/>
        <w:keepLines/>
        <w:spacing w:before="240" w:after="0"/>
        <w:outlineLvl w:val="0"/>
        <w:rPr>
          <w:rFonts w:asciiTheme="minorHAnsi" w:eastAsia="Times New Roman" w:hAnsiTheme="minorHAnsi" w:cstheme="minorHAnsi"/>
          <w:b/>
          <w:color w:val="365F91"/>
          <w:sz w:val="20"/>
          <w:szCs w:val="20"/>
        </w:rPr>
      </w:pPr>
      <w:r>
        <w:rPr>
          <w:rFonts w:asciiTheme="minorHAnsi" w:eastAsia="Times New Roman" w:hAnsiTheme="minorHAnsi" w:cstheme="minorHAnsi"/>
          <w:b/>
          <w:color w:val="365F91"/>
          <w:sz w:val="20"/>
          <w:szCs w:val="20"/>
        </w:rPr>
        <w:t xml:space="preserve">Część A. </w:t>
      </w:r>
      <w:r>
        <w:rPr>
          <w:rFonts w:asciiTheme="minorHAnsi" w:eastAsia="Times New Roman" w:hAnsiTheme="minorHAnsi" w:cstheme="minorHAnsi"/>
          <w:color w:val="365F91"/>
          <w:sz w:val="20"/>
          <w:szCs w:val="20"/>
        </w:rPr>
        <w:t>OGÓLNA CHARAKTERYSTYKA STUDIÓW</w:t>
      </w:r>
    </w:p>
    <w:p w:rsidR="00373AC5" w:rsidRDefault="00373AC5" w:rsidP="00373AC5">
      <w:pPr>
        <w:rPr>
          <w:rFonts w:asciiTheme="minorHAnsi" w:hAnsiTheme="minorHAnsi" w:cstheme="minorHAnsi"/>
          <w:b/>
          <w:bCs/>
          <w:sz w:val="20"/>
          <w:szCs w:val="20"/>
        </w:rPr>
      </w:pPr>
      <w:r>
        <w:rPr>
          <w:rFonts w:asciiTheme="minorHAnsi" w:hAnsiTheme="minorHAnsi" w:cstheme="minorHAnsi"/>
          <w:b/>
          <w:bCs/>
          <w:sz w:val="20"/>
          <w:szCs w:val="20"/>
        </w:rPr>
        <w:t xml:space="preserve">1. Koncepcja kształcenia </w:t>
      </w:r>
      <w:r>
        <w:rPr>
          <w:rFonts w:asciiTheme="minorHAnsi" w:hAnsiTheme="minorHAnsi" w:cstheme="minorHAnsi"/>
          <w:bCs/>
          <w:sz w:val="20"/>
          <w:szCs w:val="20"/>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color w:val="95B3D7"/>
                <w:sz w:val="20"/>
                <w:szCs w:val="20"/>
              </w:rPr>
            </w:pPr>
            <w:r>
              <w:rPr>
                <w:rFonts w:asciiTheme="minorHAnsi" w:hAnsiTheme="minorHAnsi" w:cstheme="minorHAnsi"/>
                <w:i/>
                <w:sz w:val="20"/>
                <w:szCs w:val="20"/>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Kierunek Dietetyka jest ściśle powiązany z kierunkiem lekarskim i kierunkiem zdrowie publiczne. 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373AC5" w:rsidRDefault="00373AC5" w:rsidP="00373AC5">
      <w:pPr>
        <w:rPr>
          <w:rFonts w:asciiTheme="minorHAnsi" w:hAnsiTheme="minorHAnsi" w:cstheme="minorHAnsi"/>
          <w:b/>
          <w:bCs/>
          <w:sz w:val="20"/>
          <w:szCs w:val="20"/>
        </w:rPr>
      </w:pPr>
    </w:p>
    <w:p w:rsidR="00373AC5" w:rsidRDefault="00373AC5" w:rsidP="00373AC5">
      <w:pPr>
        <w:rPr>
          <w:rFonts w:asciiTheme="minorHAnsi" w:hAnsiTheme="minorHAnsi" w:cstheme="minorHAnsi"/>
          <w:b/>
          <w:bCs/>
          <w:sz w:val="20"/>
          <w:szCs w:val="20"/>
        </w:rPr>
      </w:pPr>
      <w:r>
        <w:rPr>
          <w:rFonts w:asciiTheme="minorHAnsi" w:hAnsiTheme="minorHAnsi" w:cstheme="minorHAnsi"/>
          <w:b/>
          <w:bCs/>
          <w:sz w:val="20"/>
          <w:szCs w:val="20"/>
        </w:rPr>
        <w:t xml:space="preserve">2. Ogólne cele kształcenia </w:t>
      </w:r>
      <w:r>
        <w:rPr>
          <w:rFonts w:asciiTheme="minorHAnsi" w:hAnsiTheme="minorHAnsi" w:cstheme="minorHAnsi"/>
          <w:bCs/>
          <w:sz w:val="20"/>
          <w:szCs w:val="20"/>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w:t>
            </w:r>
          </w:p>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Cel ten realizowany jest poprzez: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Uzyskanie wiedzy i umiejętności opartych na dowodach naukowych w zakresie dotyczącym zdrowia i żywienia człowieka zdrowego i chorego.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Nabycie praktycznych umiejętności, opartych na aktualnej wiedzy, koniecznych do wykonywanych czynności w zakresie potrzebnym do planowania i realizowania prewencji oraz procesu terapeutycznego jednostek oraz grup społecznych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Nabycie umiejętności współdziałania w zespole terapeutycznym i/lub kierowania tym zespołem</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Nabycie umiejętności niezbędnych w pracy badawczej oraz działaniach edukacyjnych</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Uzyskanie wiedzy i umiejętności w zakresie funkcjonowania jednostek służby zdrowia, instytucji badawczych, podmiotów wolnorynkowych </w:t>
            </w:r>
          </w:p>
          <w:p w:rsidR="00373AC5" w:rsidRDefault="00373AC5">
            <w:pPr>
              <w:numPr>
                <w:ilvl w:val="0"/>
                <w:numId w:val="2"/>
              </w:numPr>
              <w:tabs>
                <w:tab w:val="left" w:pos="714"/>
              </w:tabs>
              <w:spacing w:after="0"/>
              <w:ind w:left="714" w:hanging="357"/>
              <w:rPr>
                <w:rFonts w:asciiTheme="minorHAnsi" w:hAnsiTheme="minorHAnsi" w:cstheme="minorHAnsi"/>
                <w:sz w:val="20"/>
                <w:szCs w:val="20"/>
              </w:rPr>
            </w:pPr>
            <w:r>
              <w:rPr>
                <w:rFonts w:asciiTheme="minorHAnsi" w:hAnsiTheme="minorHAnsi" w:cstheme="minorHAnsi"/>
                <w:i/>
                <w:sz w:val="20"/>
                <w:szCs w:val="20"/>
              </w:rPr>
              <w:t>Nabycie wiedzy i umiejętności do kontynuowania nauki w ramach podjęcia studiów magisterskich</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bCs/>
          <w:sz w:val="20"/>
          <w:szCs w:val="20"/>
        </w:rPr>
      </w:pPr>
      <w:r>
        <w:rPr>
          <w:rFonts w:asciiTheme="minorHAnsi" w:hAnsiTheme="minorHAnsi" w:cstheme="minorHAnsi"/>
          <w:b/>
          <w:sz w:val="20"/>
          <w:szCs w:val="20"/>
        </w:rPr>
        <w:t xml:space="preserve">3. Sylwetka absolwenta </w:t>
      </w:r>
      <w:r>
        <w:rPr>
          <w:rFonts w:asciiTheme="minorHAnsi" w:hAnsiTheme="minorHAnsi" w:cstheme="minorHAnsi"/>
          <w:sz w:val="20"/>
          <w:szCs w:val="20"/>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Absolwent studiów I stopnia potrafi: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planować racjonalne żywienie dla różnych grup ludności;</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planować i przygotowywać potrawy wchodzące  w skład poszczególnych diet zgodnie z obowiązującą klasyfikacją;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dokonywać oceny stanu odżywienia, sposobu żywienia i rozpoznać niedożywienie;</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lastRenderedPageBreak/>
              <w:t>zapobiegać chorobom dieto-zależnym;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oceniać wzajemny wpływ farmakoterapii i żywienia;</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kontrolowania jakości produktów żywnościowych i warunków ich przechowywania oraz produkcji potraw zgodnie z zasadami systemu analizy zagrożeń i krytycznych punktów kontroli (hazard </w:t>
            </w:r>
            <w:proofErr w:type="spellStart"/>
            <w:r>
              <w:rPr>
                <w:rFonts w:cstheme="minorHAnsi"/>
                <w:i/>
                <w:sz w:val="20"/>
                <w:szCs w:val="20"/>
              </w:rPr>
              <w:t>analyzes</w:t>
            </w:r>
            <w:proofErr w:type="spellEnd"/>
            <w:r>
              <w:rPr>
                <w:rFonts w:cstheme="minorHAnsi"/>
                <w:i/>
                <w:sz w:val="20"/>
                <w:szCs w:val="20"/>
              </w:rPr>
              <w:t xml:space="preserve"> </w:t>
            </w:r>
            <w:proofErr w:type="spellStart"/>
            <w:r>
              <w:rPr>
                <w:rFonts w:cstheme="minorHAnsi"/>
                <w:i/>
                <w:sz w:val="20"/>
                <w:szCs w:val="20"/>
              </w:rPr>
              <w:t>critical</w:t>
            </w:r>
            <w:proofErr w:type="spellEnd"/>
            <w:r>
              <w:rPr>
                <w:rFonts w:cstheme="minorHAnsi"/>
                <w:i/>
                <w:sz w:val="20"/>
                <w:szCs w:val="20"/>
              </w:rPr>
              <w:t xml:space="preserve"> </w:t>
            </w:r>
            <w:proofErr w:type="spellStart"/>
            <w:r>
              <w:rPr>
                <w:rFonts w:cstheme="minorHAnsi"/>
                <w:i/>
                <w:sz w:val="20"/>
                <w:szCs w:val="20"/>
              </w:rPr>
              <w:t>control</w:t>
            </w:r>
            <w:proofErr w:type="spellEnd"/>
            <w:r>
              <w:rPr>
                <w:rFonts w:cstheme="minorHAnsi"/>
                <w:i/>
                <w:sz w:val="20"/>
                <w:szCs w:val="20"/>
              </w:rPr>
              <w:t xml:space="preserve"> </w:t>
            </w:r>
            <w:proofErr w:type="spellStart"/>
            <w:r>
              <w:rPr>
                <w:rFonts w:cstheme="minorHAnsi"/>
                <w:i/>
                <w:sz w:val="20"/>
                <w:szCs w:val="20"/>
              </w:rPr>
              <w:t>points</w:t>
            </w:r>
            <w:proofErr w:type="spellEnd"/>
            <w:r>
              <w:rPr>
                <w:rFonts w:cstheme="minorHAnsi"/>
                <w:i/>
                <w:sz w:val="20"/>
                <w:szCs w:val="20"/>
              </w:rPr>
              <w:t xml:space="preserve"> – </w:t>
            </w:r>
            <w:proofErr w:type="spellStart"/>
            <w:r>
              <w:rPr>
                <w:rFonts w:cstheme="minorHAnsi"/>
                <w:i/>
                <w:sz w:val="20"/>
                <w:szCs w:val="20"/>
              </w:rPr>
              <w:t>haccp</w:t>
            </w:r>
            <w:proofErr w:type="spellEnd"/>
            <w:r>
              <w:rPr>
                <w:rFonts w:cstheme="minorHAnsi"/>
                <w:i/>
                <w:sz w:val="20"/>
                <w:szCs w:val="20"/>
              </w:rPr>
              <w:t xml:space="preserve">);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oceniać wpływ choroby na stan odżywienia i wpływ żywienia na wyniki leczenia chorób;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organizować żywienie indywidualne, zbiorowe i lecznicze dostosowane do wieku i stanu zdrowia pacjentów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prowadzić edukację żywieniową;</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współpracować w interdyscyplinarnym zespole terapeutycznym;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efektywnie komunikować się z pacjentem;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wykonywać pomiary antropometryczne;</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korzystać z medycznych baz danych;</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interpretować wynik badań laboratoryjnych na potrzeby </w:t>
            </w:r>
            <w:proofErr w:type="spellStart"/>
            <w:r>
              <w:rPr>
                <w:rFonts w:cstheme="minorHAnsi"/>
                <w:i/>
                <w:sz w:val="20"/>
                <w:szCs w:val="20"/>
              </w:rPr>
              <w:t>dietoterapii</w:t>
            </w:r>
            <w:proofErr w:type="spellEnd"/>
            <w:r>
              <w:rPr>
                <w:rFonts w:cstheme="minorHAnsi"/>
                <w:i/>
                <w:sz w:val="20"/>
                <w:szCs w:val="20"/>
              </w:rPr>
              <w:t>;</w:t>
            </w:r>
          </w:p>
          <w:p w:rsidR="00373AC5" w:rsidRDefault="00373AC5">
            <w:pPr>
              <w:pStyle w:val="Akapitzlist"/>
              <w:numPr>
                <w:ilvl w:val="0"/>
                <w:numId w:val="4"/>
              </w:numPr>
              <w:tabs>
                <w:tab w:val="left" w:pos="1470"/>
              </w:tabs>
              <w:spacing w:after="0"/>
              <w:rPr>
                <w:rFonts w:cstheme="minorHAnsi"/>
                <w:bCs/>
                <w:sz w:val="20"/>
                <w:szCs w:val="20"/>
              </w:rPr>
            </w:pPr>
            <w:r>
              <w:rPr>
                <w:rFonts w:cstheme="minorHAnsi"/>
                <w:i/>
                <w:sz w:val="20"/>
                <w:szCs w:val="20"/>
              </w:rPr>
              <w:t>komunikować się w wybranym języku obcym na poziomie B2.</w:t>
            </w:r>
          </w:p>
        </w:tc>
      </w:tr>
    </w:tbl>
    <w:p w:rsidR="00373AC5" w:rsidRDefault="00373AC5" w:rsidP="00373AC5">
      <w:pPr>
        <w:ind w:left="567"/>
        <w:contextualSpacing/>
        <w:rPr>
          <w:rFonts w:asciiTheme="minorHAnsi" w:hAnsiTheme="minorHAnsi" w:cstheme="minorHAnsi"/>
          <w:b/>
          <w:bCs/>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4. Nazwa kierunku studiów </w:t>
      </w:r>
      <w:r>
        <w:rPr>
          <w:rFonts w:asciiTheme="minorHAnsi" w:hAnsiTheme="minorHAnsi" w:cstheme="minorHAnsi"/>
          <w:sz w:val="20"/>
          <w:szCs w:val="20"/>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Dietetyka</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5. Poziom studiów </w:t>
      </w:r>
      <w:r>
        <w:rPr>
          <w:rFonts w:asciiTheme="minorHAnsi" w:hAnsiTheme="minorHAnsi" w:cstheme="minorHAnsi"/>
          <w:sz w:val="20"/>
          <w:szCs w:val="20"/>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Studia pierwszego stopnia</w:t>
            </w:r>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6. Forma lub formy studiów </w:t>
      </w:r>
      <w:r>
        <w:rPr>
          <w:rFonts w:asciiTheme="minorHAnsi" w:hAnsiTheme="minorHAnsi" w:cstheme="minorHAnsi"/>
          <w:sz w:val="20"/>
          <w:szCs w:val="20"/>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Stacjonarne</w:t>
            </w:r>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7. Profil studiów </w:t>
      </w:r>
      <w:r>
        <w:rPr>
          <w:rFonts w:asciiTheme="minorHAnsi" w:hAnsiTheme="minorHAnsi" w:cstheme="minorHAnsi"/>
          <w:sz w:val="20"/>
          <w:szCs w:val="20"/>
        </w:rPr>
        <w:t>(</w:t>
      </w:r>
      <w:proofErr w:type="spellStart"/>
      <w:r>
        <w:rPr>
          <w:rFonts w:asciiTheme="minorHAnsi" w:hAnsiTheme="minorHAnsi" w:cstheme="minorHAnsi"/>
          <w:sz w:val="20"/>
          <w:szCs w:val="20"/>
        </w:rPr>
        <w:t>ogólnoakademicki</w:t>
      </w:r>
      <w:proofErr w:type="spellEnd"/>
      <w:r>
        <w:rPr>
          <w:rFonts w:asciiTheme="minorHAnsi" w:hAnsiTheme="minorHAnsi" w:cstheme="minorHAnsi"/>
          <w:sz w:val="20"/>
          <w:szCs w:val="20"/>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proofErr w:type="spellStart"/>
            <w:r>
              <w:rPr>
                <w:rFonts w:asciiTheme="minorHAnsi" w:hAnsiTheme="minorHAnsi" w:cstheme="minorHAnsi"/>
                <w:bCs/>
                <w:i/>
                <w:sz w:val="20"/>
                <w:szCs w:val="20"/>
              </w:rPr>
              <w:t>Ogólnoakademicki</w:t>
            </w:r>
            <w:proofErr w:type="spellEnd"/>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sz w:val="20"/>
          <w:szCs w:val="20"/>
        </w:rPr>
      </w:pPr>
      <w:r>
        <w:rPr>
          <w:rFonts w:asciiTheme="minorHAnsi" w:hAnsiTheme="minorHAnsi" w:cstheme="minorHAnsi"/>
          <w:b/>
          <w:sz w:val="20"/>
          <w:szCs w:val="20"/>
        </w:rPr>
        <w:t xml:space="preserve">8. Przyporządkowanie kierunku studiów do dyscypliny lub dyscyplin </w:t>
      </w:r>
      <w:r>
        <w:rPr>
          <w:rFonts w:asciiTheme="minorHAnsi" w:hAnsiTheme="minorHAnsi" w:cstheme="minorHAnsi"/>
          <w:sz w:val="20"/>
          <w:szCs w:val="20"/>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373AC5" w:rsidTr="00373AC5">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100%</w:t>
            </w:r>
          </w:p>
        </w:tc>
      </w:tr>
      <w:tr w:rsidR="00373AC5" w:rsidTr="00373AC5">
        <w:trPr>
          <w:trHeight w:val="600"/>
        </w:trPr>
        <w:tc>
          <w:tcPr>
            <w:tcW w:w="1189" w:type="pct"/>
            <w:tcBorders>
              <w:top w:val="nil"/>
              <w:left w:val="single" w:sz="8" w:space="0" w:color="auto"/>
              <w:bottom w:val="nil"/>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c>
          <w:tcPr>
            <w:tcW w:w="1240"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c>
          <w:tcPr>
            <w:tcW w:w="1143"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r>
      <w:tr w:rsidR="00373AC5" w:rsidTr="00373AC5">
        <w:trPr>
          <w:trHeight w:val="60"/>
        </w:trPr>
        <w:tc>
          <w:tcPr>
            <w:tcW w:w="1189" w:type="pct"/>
            <w:tcBorders>
              <w:top w:val="nil"/>
              <w:left w:val="single" w:sz="8" w:space="0" w:color="auto"/>
              <w:bottom w:val="single" w:sz="8" w:space="0" w:color="auto"/>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WIODĄCA</w:t>
            </w: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r>
      <w:tr w:rsidR="00373AC5" w:rsidTr="00373AC5">
        <w:trPr>
          <w:trHeight w:val="872"/>
        </w:trPr>
        <w:tc>
          <w:tcPr>
            <w:tcW w:w="1189" w:type="pct"/>
            <w:tcBorders>
              <w:top w:val="nil"/>
              <w:left w:val="single" w:sz="8" w:space="0" w:color="auto"/>
              <w:bottom w:val="single" w:sz="8" w:space="0" w:color="auto"/>
              <w:right w:val="single" w:sz="8" w:space="0" w:color="auto"/>
            </w:tcBorders>
            <w:shd w:val="clear" w:color="auto" w:fill="FFFFFF"/>
            <w:vAlign w:val="center"/>
            <w:hideMark/>
          </w:tcPr>
          <w:p w:rsidR="00373AC5" w:rsidRPr="00916E96" w:rsidRDefault="00373AC5">
            <w:pPr>
              <w:spacing w:after="0" w:line="240" w:lineRule="auto"/>
              <w:jc w:val="center"/>
              <w:rPr>
                <w:rFonts w:asciiTheme="minorHAnsi" w:eastAsia="Times New Roman" w:hAnsiTheme="minorHAnsi" w:cstheme="minorHAnsi"/>
                <w:i/>
                <w:sz w:val="20"/>
                <w:szCs w:val="20"/>
                <w:lang w:eastAsia="pl-PL"/>
              </w:rPr>
            </w:pPr>
            <w:r w:rsidRPr="00916E96">
              <w:rPr>
                <w:rFonts w:asciiTheme="minorHAnsi" w:eastAsia="Times New Roman" w:hAnsiTheme="minorHAnsi" w:cstheme="minorHAnsi"/>
                <w:i/>
                <w:sz w:val="20"/>
                <w:szCs w:val="20"/>
                <w:lang w:eastAsia="pl-PL"/>
              </w:rPr>
              <w:lastRenderedPageBreak/>
              <w:t> </w:t>
            </w:r>
            <w:r w:rsidRPr="00916E96">
              <w:rPr>
                <w:rFonts w:asciiTheme="minorHAnsi" w:hAnsiTheme="minorHAnsi" w:cstheme="minorHAnsi"/>
                <w:i/>
                <w:sz w:val="20"/>
                <w:szCs w:val="20"/>
              </w:rPr>
              <w:t xml:space="preserve">Nauki medyczne </w:t>
            </w:r>
          </w:p>
        </w:tc>
        <w:tc>
          <w:tcPr>
            <w:tcW w:w="474" w:type="pct"/>
            <w:tcBorders>
              <w:top w:val="nil"/>
              <w:left w:val="nil"/>
              <w:bottom w:val="single" w:sz="8" w:space="0" w:color="auto"/>
              <w:right w:val="single" w:sz="8" w:space="0" w:color="auto"/>
            </w:tcBorders>
            <w:shd w:val="clear" w:color="auto" w:fill="FFFFFF"/>
            <w:vAlign w:val="center"/>
            <w:hideMark/>
          </w:tcPr>
          <w:p w:rsidR="00373AC5" w:rsidRPr="00916E96" w:rsidRDefault="00373AC5">
            <w:pPr>
              <w:spacing w:after="0" w:line="240" w:lineRule="auto"/>
              <w:jc w:val="center"/>
              <w:rPr>
                <w:rFonts w:asciiTheme="minorHAnsi" w:eastAsia="Times New Roman" w:hAnsiTheme="minorHAnsi" w:cstheme="minorHAnsi"/>
                <w:i/>
                <w:sz w:val="20"/>
                <w:szCs w:val="20"/>
                <w:lang w:eastAsia="pl-PL"/>
              </w:rPr>
            </w:pPr>
            <w:r w:rsidRPr="00916E96">
              <w:rPr>
                <w:rFonts w:asciiTheme="minorHAnsi" w:eastAsia="Times New Roman" w:hAnsiTheme="minorHAnsi" w:cstheme="minorHAnsi"/>
                <w:i/>
                <w:sz w:val="20"/>
                <w:szCs w:val="20"/>
                <w:lang w:eastAsia="pl-PL"/>
              </w:rPr>
              <w:t>73 </w:t>
            </w:r>
          </w:p>
        </w:tc>
        <w:tc>
          <w:tcPr>
            <w:tcW w:w="1240"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000000"/>
                <w:sz w:val="20"/>
                <w:szCs w:val="20"/>
                <w:lang w:eastAsia="pl-PL"/>
              </w:rPr>
            </w:pPr>
            <w:r>
              <w:rPr>
                <w:rFonts w:asciiTheme="minorHAnsi" w:hAnsiTheme="minorHAnsi" w:cstheme="minorHAnsi"/>
                <w:i/>
                <w:sz w:val="20"/>
                <w:szCs w:val="20"/>
              </w:rPr>
              <w:t>Technologia żywności i żywienia</w:t>
            </w:r>
            <w:r>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000000"/>
                <w:sz w:val="20"/>
                <w:szCs w:val="20"/>
                <w:lang w:eastAsia="pl-PL"/>
              </w:rPr>
            </w:pPr>
            <w:r>
              <w:rPr>
                <w:rFonts w:asciiTheme="minorHAnsi" w:eastAsia="Times New Roman" w:hAnsiTheme="minorHAnsi" w:cstheme="minorHAnsi"/>
                <w:i/>
                <w:color w:val="000000"/>
                <w:sz w:val="20"/>
                <w:szCs w:val="20"/>
                <w:lang w:eastAsia="pl-PL"/>
              </w:rPr>
              <w:t> 11</w:t>
            </w:r>
          </w:p>
        </w:tc>
        <w:tc>
          <w:tcPr>
            <w:tcW w:w="1143" w:type="pct"/>
            <w:tcBorders>
              <w:top w:val="nil"/>
              <w:left w:val="nil"/>
              <w:bottom w:val="single" w:sz="8" w:space="0" w:color="auto"/>
              <w:right w:val="single" w:sz="8" w:space="0" w:color="auto"/>
            </w:tcBorders>
            <w:shd w:val="clear" w:color="auto" w:fill="FFFFFF"/>
            <w:vAlign w:val="center"/>
            <w:hideMark/>
          </w:tcPr>
          <w:p w:rsidR="00373AC5" w:rsidRPr="00916E96" w:rsidRDefault="00373AC5">
            <w:pPr>
              <w:spacing w:after="0" w:line="240" w:lineRule="auto"/>
              <w:jc w:val="center"/>
              <w:rPr>
                <w:rFonts w:asciiTheme="minorHAnsi" w:eastAsia="Times New Roman" w:hAnsiTheme="minorHAnsi" w:cstheme="minorHAnsi"/>
                <w:i/>
                <w:sz w:val="20"/>
                <w:szCs w:val="20"/>
                <w:lang w:eastAsia="pl-PL"/>
              </w:rPr>
            </w:pPr>
            <w:r w:rsidRPr="00916E96">
              <w:rPr>
                <w:rFonts w:asciiTheme="minorHAnsi" w:hAnsiTheme="minorHAnsi" w:cstheme="minorHAnsi"/>
                <w:i/>
                <w:sz w:val="20"/>
                <w:szCs w:val="20"/>
              </w:rPr>
              <w:t>Nauki o zdrowiu</w:t>
            </w:r>
            <w:r w:rsidRPr="00916E96">
              <w:rPr>
                <w:rFonts w:asciiTheme="minorHAnsi" w:eastAsia="Times New Roman" w:hAnsiTheme="minorHAnsi" w:cstheme="minorHAnsi"/>
                <w:i/>
                <w:sz w:val="20"/>
                <w:szCs w:val="20"/>
                <w:lang w:eastAsia="pl-PL"/>
              </w:rPr>
              <w:t> </w:t>
            </w:r>
          </w:p>
        </w:tc>
        <w:tc>
          <w:tcPr>
            <w:tcW w:w="477" w:type="pct"/>
            <w:tcBorders>
              <w:top w:val="nil"/>
              <w:left w:val="nil"/>
              <w:bottom w:val="single" w:sz="8" w:space="0" w:color="auto"/>
              <w:right w:val="single" w:sz="8" w:space="0" w:color="auto"/>
            </w:tcBorders>
            <w:shd w:val="clear" w:color="auto" w:fill="FFFFFF"/>
            <w:vAlign w:val="center"/>
            <w:hideMark/>
          </w:tcPr>
          <w:p w:rsidR="00373AC5" w:rsidRPr="00916E96" w:rsidRDefault="00373AC5">
            <w:pPr>
              <w:spacing w:after="0" w:line="240" w:lineRule="auto"/>
              <w:jc w:val="center"/>
              <w:rPr>
                <w:rFonts w:asciiTheme="minorHAnsi" w:eastAsia="Times New Roman" w:hAnsiTheme="minorHAnsi" w:cstheme="minorHAnsi"/>
                <w:i/>
                <w:sz w:val="20"/>
                <w:szCs w:val="20"/>
                <w:lang w:eastAsia="pl-PL"/>
              </w:rPr>
            </w:pPr>
            <w:r w:rsidRPr="00916E96">
              <w:rPr>
                <w:rFonts w:asciiTheme="minorHAnsi" w:eastAsia="Times New Roman" w:hAnsiTheme="minorHAnsi" w:cstheme="minorHAnsi"/>
                <w:i/>
                <w:sz w:val="20"/>
                <w:szCs w:val="20"/>
                <w:lang w:eastAsia="pl-PL"/>
              </w:rPr>
              <w:t>16</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i/>
                <w:sz w:val="20"/>
                <w:szCs w:val="20"/>
              </w:rPr>
              <w:t>Średnie wykształcenie</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1. Kandydaci legitymujący się tzw. „starą maturą” zobowiązani są posiadać na zaświadczeniu z OKE wyniki z egzaminu maturalnego z biologii na poziomie rozszerzonym i z chemii na poziomie podstawowym lub rozszerzonym. </w:t>
            </w:r>
          </w:p>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2. Kandydaci legitymujący się tzw. „nową maturą”, maturą europejską /EB/, maturą międzynarodową /IB/ zobowiązani są wykazać się zdaniem egzaminu maturalnego z biologii na poziomie rozszerzonym i z chemii na poziomie podstawowym lub rozszerzonym. </w:t>
            </w:r>
          </w:p>
          <w:p w:rsidR="00373AC5" w:rsidRDefault="00373AC5">
            <w:pPr>
              <w:tabs>
                <w:tab w:val="left" w:pos="1470"/>
              </w:tabs>
              <w:spacing w:after="0"/>
              <w:rPr>
                <w:rFonts w:asciiTheme="minorHAnsi" w:hAnsiTheme="minorHAnsi" w:cstheme="minorHAnsi"/>
                <w:bCs/>
                <w:sz w:val="20"/>
                <w:szCs w:val="20"/>
              </w:rPr>
            </w:pPr>
            <w:r>
              <w:rPr>
                <w:rFonts w:asciiTheme="minorHAnsi" w:hAnsiTheme="minorHAnsi" w:cstheme="minorHAnsi"/>
                <w:i/>
                <w:sz w:val="20"/>
                <w:szCs w:val="20"/>
              </w:rPr>
              <w:t>3. Liczbę punktów kwalifikacyjnych stanowi suma punktów uzyskanych za wyniki na egzaminie maturalnym. W przypadku zdania przedmiotu na poziomie podstawowym punkty zostaną przeliczone na poziom rozszerzony wg wzoru R = 0,5P Dla wszystkich kandydatów maksymalna liczba możliwych do zdobycia punktów wynosi 200.</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i/>
                <w:sz w:val="20"/>
                <w:szCs w:val="20"/>
              </w:rPr>
              <w:t>Warunkiem ukończenia studiów jest złożenie pracy dyplomowej przygotowanej zgodnie z regulaminem prac licencjackich oraz uzyskanie pozytywnej oceny z egzaminu licencjackiego.</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spacing w:after="0"/>
        <w:rPr>
          <w:rFonts w:asciiTheme="minorHAnsi" w:hAnsiTheme="minorHAnsi" w:cstheme="minorHAnsi"/>
          <w:b/>
          <w:sz w:val="20"/>
          <w:szCs w:val="20"/>
        </w:rPr>
        <w:sectPr w:rsidR="00373AC5">
          <w:pgSz w:w="11906" w:h="16838"/>
          <w:pgMar w:top="1417" w:right="1417" w:bottom="1417" w:left="1417" w:header="708" w:footer="708" w:gutter="0"/>
          <w:cols w:space="708"/>
        </w:sect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lastRenderedPageBreak/>
        <w:t xml:space="preserve">12. Możliwości zatrudnienia </w:t>
      </w:r>
      <w:r>
        <w:rPr>
          <w:rFonts w:asciiTheme="minorHAnsi" w:hAnsiTheme="minorHAnsi" w:cstheme="minorHAnsi"/>
          <w:sz w:val="20"/>
          <w:szCs w:val="20"/>
        </w:rPr>
        <w:t xml:space="preserve">(typowe miejsca pracy) </w:t>
      </w:r>
      <w:r>
        <w:rPr>
          <w:rFonts w:asciiTheme="minorHAnsi" w:hAnsiTheme="minorHAnsi" w:cstheme="minorHAnsi"/>
          <w:b/>
          <w:sz w:val="20"/>
          <w:szCs w:val="20"/>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Absolwent studiów I stopnia może znaleźć zatrudnienie w: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publicznych i niepublicznych zakładach opieki zdrowotnej;</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zakładach żywienia zbiorowego i zakładach dostarczających pożywienie do szpitali i innych placówek zbiorowego żywienia (catering);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organizacjach konsumenckich;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placówkach sportowych i innych (w zależności od rodzaju dodatkowych kwalifikacji)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szkolnictwie – po ukończeniu specjalności nauczycielskiej</w:t>
            </w:r>
          </w:p>
          <w:p w:rsidR="00373AC5" w:rsidRDefault="00373AC5">
            <w:pPr>
              <w:tabs>
                <w:tab w:val="left" w:pos="1470"/>
              </w:tabs>
              <w:spacing w:after="0"/>
              <w:rPr>
                <w:rFonts w:asciiTheme="minorHAnsi" w:hAnsiTheme="minorHAnsi" w:cstheme="minorHAnsi"/>
                <w:bCs/>
                <w:i/>
                <w:sz w:val="20"/>
                <w:szCs w:val="20"/>
              </w:rPr>
            </w:pPr>
            <w:r>
              <w:rPr>
                <w:rFonts w:asciiTheme="minorHAnsi" w:hAnsiTheme="minorHAnsi" w:cstheme="minorHAnsi"/>
                <w:i/>
                <w:sz w:val="20"/>
                <w:szCs w:val="20"/>
              </w:rPr>
              <w:t>Ponadto absolwent jest przygotowany do założenia własnej działalności gospodarczej oraz kontynuacji kształcenia na studiach drugiego stopnia (magisterskich) i studiach podyplomowych.</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sz w:val="20"/>
          <w:szCs w:val="20"/>
        </w:rPr>
      </w:pPr>
      <w:r>
        <w:rPr>
          <w:rFonts w:asciiTheme="minorHAnsi" w:hAnsiTheme="minorHAnsi" w:cstheme="minorHAnsi"/>
          <w:b/>
          <w:sz w:val="20"/>
          <w:szCs w:val="20"/>
        </w:rPr>
        <w:t xml:space="preserve">13. Praktyki zawodowe </w:t>
      </w:r>
      <w:r>
        <w:rPr>
          <w:rFonts w:asciiTheme="minorHAnsi" w:hAnsiTheme="minorHAnsi" w:cstheme="minorHAnsi"/>
          <w:sz w:val="20"/>
          <w:szCs w:val="20"/>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szpitalu dla dorosłych;</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poradni dietetycznej;</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edukacyjna z dziećmi i młodzieżą w przedszkolu/szkole;</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poradni chorób układu pokarmowego i chorób metabolicznych;</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szpitalu dziecięcym;</w:t>
            </w:r>
          </w:p>
          <w:p w:rsidR="00373AC5" w:rsidRDefault="00373AC5">
            <w:pPr>
              <w:pStyle w:val="Akapitzlist"/>
              <w:numPr>
                <w:ilvl w:val="0"/>
                <w:numId w:val="8"/>
              </w:numPr>
              <w:tabs>
                <w:tab w:val="left" w:pos="1470"/>
              </w:tabs>
              <w:rPr>
                <w:rFonts w:cstheme="minorHAnsi"/>
                <w:i/>
                <w:sz w:val="20"/>
                <w:szCs w:val="20"/>
              </w:rPr>
            </w:pPr>
            <w:r>
              <w:rPr>
                <w:rFonts w:cstheme="minorHAnsi"/>
                <w:i/>
                <w:sz w:val="20"/>
                <w:szCs w:val="20"/>
              </w:rPr>
              <w:t>praktyka w domu opieki społecznej;</w:t>
            </w:r>
          </w:p>
          <w:p w:rsidR="00373AC5" w:rsidRDefault="00373AC5">
            <w:pPr>
              <w:pStyle w:val="Akapitzlist"/>
              <w:numPr>
                <w:ilvl w:val="0"/>
                <w:numId w:val="8"/>
              </w:numPr>
              <w:tabs>
                <w:tab w:val="left" w:pos="1470"/>
              </w:tabs>
              <w:rPr>
                <w:rFonts w:cstheme="minorHAnsi"/>
                <w:bCs/>
                <w:i/>
                <w:sz w:val="20"/>
                <w:szCs w:val="20"/>
              </w:rPr>
            </w:pPr>
            <w:r>
              <w:rPr>
                <w:rFonts w:cstheme="minorHAnsi"/>
                <w:i/>
                <w:sz w:val="20"/>
                <w:szCs w:val="20"/>
              </w:rPr>
              <w:t>praktyka z technologii potraw.</w:t>
            </w:r>
          </w:p>
        </w:tc>
      </w:tr>
    </w:tbl>
    <w:p w:rsidR="00373AC5" w:rsidRDefault="00373AC5" w:rsidP="00373AC5">
      <w:pPr>
        <w:rPr>
          <w:rFonts w:asciiTheme="minorHAnsi" w:hAnsiTheme="minorHAnsi" w:cstheme="minorHAnsi"/>
          <w:sz w:val="20"/>
          <w:szCs w:val="20"/>
        </w:rPr>
      </w:pPr>
    </w:p>
    <w:p w:rsidR="00373AC5" w:rsidRDefault="00373AC5" w:rsidP="00373AC5">
      <w:pPr>
        <w:keepNext/>
        <w:keepLines/>
        <w:spacing w:before="40" w:after="0"/>
        <w:outlineLvl w:val="1"/>
        <w:rPr>
          <w:rFonts w:asciiTheme="minorHAnsi" w:eastAsia="Times New Roman" w:hAnsiTheme="minorHAnsi" w:cstheme="minorHAnsi"/>
          <w:color w:val="365F91"/>
          <w:sz w:val="20"/>
          <w:szCs w:val="20"/>
        </w:rPr>
      </w:pPr>
      <w:r>
        <w:rPr>
          <w:rFonts w:asciiTheme="minorHAnsi" w:eastAsia="Times New Roman" w:hAnsiTheme="minorHAnsi" w:cstheme="minorHAnsi"/>
          <w:b/>
          <w:color w:val="365F91"/>
          <w:sz w:val="20"/>
          <w:szCs w:val="20"/>
        </w:rPr>
        <w:t xml:space="preserve">Część B. </w:t>
      </w:r>
      <w:r>
        <w:rPr>
          <w:rFonts w:asciiTheme="minorHAnsi" w:eastAsia="Times New Roman" w:hAnsiTheme="minorHAnsi" w:cstheme="minorHAnsi"/>
          <w:color w:val="365F91"/>
          <w:sz w:val="20"/>
          <w:szCs w:val="20"/>
        </w:rPr>
        <w:t>INFORMACJE PODSTAWOWE O KIERUNKU</w:t>
      </w:r>
    </w:p>
    <w:p w:rsidR="00373AC5" w:rsidRDefault="00373AC5" w:rsidP="00373AC5">
      <w:pPr>
        <w:numPr>
          <w:ilvl w:val="0"/>
          <w:numId w:val="10"/>
        </w:numPr>
        <w:spacing w:after="160" w:line="256" w:lineRule="auto"/>
        <w:ind w:left="567" w:hanging="567"/>
        <w:contextualSpacing/>
        <w:rPr>
          <w:rFonts w:asciiTheme="minorHAnsi" w:hAnsiTheme="minorHAnsi" w:cstheme="minorHAnsi"/>
          <w:i/>
          <w:sz w:val="20"/>
          <w:szCs w:val="20"/>
        </w:rPr>
      </w:pPr>
      <w:r>
        <w:rPr>
          <w:rFonts w:asciiTheme="minorHAnsi" w:hAnsiTheme="minorHAnsi" w:cstheme="minorHAnsi"/>
          <w:b/>
          <w:sz w:val="20"/>
          <w:szCs w:val="20"/>
        </w:rPr>
        <w:t xml:space="preserve">Tytuł zawodowy nadawany absolwentom: </w:t>
      </w:r>
      <w:r>
        <w:rPr>
          <w:rFonts w:asciiTheme="minorHAnsi" w:hAnsiTheme="minorHAnsi" w:cstheme="minorHAnsi"/>
          <w:b/>
          <w:i/>
          <w:sz w:val="20"/>
          <w:szCs w:val="20"/>
        </w:rPr>
        <w:t>licencjat</w:t>
      </w:r>
    </w:p>
    <w:p w:rsidR="00373AC5" w:rsidRDefault="00373AC5" w:rsidP="00373AC5">
      <w:pPr>
        <w:ind w:left="567"/>
        <w:contextualSpacing/>
        <w:rPr>
          <w:rFonts w:asciiTheme="minorHAnsi" w:hAnsiTheme="minorHAnsi" w:cstheme="minorHAnsi"/>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Poziom Polskiej Ramy Kwalifikacji: </w:t>
      </w:r>
      <w:r>
        <w:rPr>
          <w:rFonts w:asciiTheme="minorHAnsi" w:hAnsiTheme="minorHAnsi" w:cstheme="minorHAnsi"/>
          <w:b/>
          <w:i/>
          <w:sz w:val="20"/>
          <w:szCs w:val="20"/>
        </w:rPr>
        <w:t>VI</w:t>
      </w:r>
    </w:p>
    <w:p w:rsidR="00373AC5" w:rsidRDefault="00373AC5" w:rsidP="00373AC5">
      <w:pPr>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Liczba semestrów: </w:t>
      </w:r>
      <w:r>
        <w:rPr>
          <w:rFonts w:asciiTheme="minorHAnsi" w:hAnsiTheme="minorHAnsi" w:cstheme="minorHAnsi"/>
          <w:b/>
          <w:i/>
          <w:sz w:val="20"/>
          <w:szCs w:val="20"/>
        </w:rPr>
        <w:t>6</w:t>
      </w:r>
    </w:p>
    <w:p w:rsidR="00373AC5" w:rsidRDefault="00373AC5" w:rsidP="00373AC5">
      <w:pPr>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Łączna liczba punktów ECTS: </w:t>
      </w:r>
      <w:r>
        <w:rPr>
          <w:rFonts w:asciiTheme="minorHAnsi" w:hAnsiTheme="minorHAnsi" w:cstheme="minorHAnsi"/>
          <w:b/>
          <w:i/>
          <w:sz w:val="20"/>
          <w:szCs w:val="20"/>
        </w:rPr>
        <w:t>180</w:t>
      </w:r>
    </w:p>
    <w:p w:rsidR="00373AC5" w:rsidRDefault="00373AC5" w:rsidP="00373AC5">
      <w:pPr>
        <w:spacing w:after="160" w:line="256" w:lineRule="auto"/>
        <w:ind w:left="567"/>
        <w:contextualSpacing/>
        <w:rPr>
          <w:rFonts w:asciiTheme="minorHAnsi" w:hAnsiTheme="minorHAnsi" w:cstheme="minorHAnsi"/>
          <w:b/>
          <w:sz w:val="20"/>
          <w:szCs w:val="20"/>
        </w:rPr>
      </w:pPr>
    </w:p>
    <w:p w:rsidR="00373AC5" w:rsidRDefault="00373AC5" w:rsidP="00373AC5">
      <w:pPr>
        <w:numPr>
          <w:ilvl w:val="0"/>
          <w:numId w:val="10"/>
        </w:numPr>
        <w:ind w:left="567" w:hanging="567"/>
        <w:contextualSpacing/>
        <w:rPr>
          <w:rFonts w:cs="Calibri"/>
          <w:b/>
          <w:sz w:val="20"/>
          <w:szCs w:val="20"/>
        </w:rPr>
      </w:pPr>
      <w:r>
        <w:rPr>
          <w:rFonts w:asciiTheme="minorHAnsi" w:hAnsiTheme="minorHAnsi" w:cstheme="minorHAnsi"/>
          <w:b/>
          <w:sz w:val="20"/>
          <w:szCs w:val="20"/>
        </w:rPr>
        <w:t>Łączna liczba godzin zajęć</w:t>
      </w:r>
      <w:r w:rsidRPr="00916E96">
        <w:rPr>
          <w:rFonts w:asciiTheme="minorHAnsi" w:hAnsiTheme="minorHAnsi" w:cstheme="minorHAnsi"/>
          <w:b/>
          <w:sz w:val="20"/>
          <w:szCs w:val="20"/>
        </w:rPr>
        <w:t>:</w:t>
      </w:r>
      <w:r w:rsidRPr="00916E96">
        <w:rPr>
          <w:rFonts w:asciiTheme="minorHAnsi" w:hAnsiTheme="minorHAnsi" w:cstheme="minorHAnsi"/>
          <w:b/>
          <w:i/>
          <w:sz w:val="20"/>
          <w:szCs w:val="20"/>
        </w:rPr>
        <w:t xml:space="preserve"> 5</w:t>
      </w:r>
      <w:r w:rsidR="00896F0C" w:rsidRPr="00916E96">
        <w:rPr>
          <w:rFonts w:asciiTheme="minorHAnsi" w:hAnsiTheme="minorHAnsi" w:cstheme="minorHAnsi"/>
          <w:b/>
          <w:i/>
          <w:sz w:val="20"/>
          <w:szCs w:val="20"/>
        </w:rPr>
        <w:t>3</w:t>
      </w:r>
      <w:r w:rsidR="00746C1B" w:rsidRPr="00916E96">
        <w:rPr>
          <w:rFonts w:asciiTheme="minorHAnsi" w:hAnsiTheme="minorHAnsi" w:cstheme="minorHAnsi"/>
          <w:b/>
          <w:i/>
          <w:sz w:val="20"/>
          <w:szCs w:val="20"/>
        </w:rPr>
        <w:t>7</w:t>
      </w:r>
      <w:r w:rsidR="00D333EB" w:rsidRPr="00916E96">
        <w:rPr>
          <w:rFonts w:asciiTheme="minorHAnsi" w:hAnsiTheme="minorHAnsi" w:cstheme="minorHAnsi"/>
          <w:b/>
          <w:i/>
          <w:sz w:val="20"/>
          <w:szCs w:val="20"/>
        </w:rPr>
        <w:t>5</w:t>
      </w:r>
      <w:r w:rsidRPr="00916E96">
        <w:rPr>
          <w:rFonts w:asciiTheme="minorHAnsi" w:hAnsiTheme="minorHAnsi" w:cstheme="minorHAnsi"/>
          <w:b/>
          <w:i/>
          <w:sz w:val="20"/>
          <w:szCs w:val="20"/>
        </w:rPr>
        <w:t xml:space="preserve"> </w:t>
      </w:r>
      <w:r>
        <w:rPr>
          <w:rFonts w:cs="Calibri"/>
          <w:i/>
          <w:sz w:val="20"/>
          <w:szCs w:val="20"/>
        </w:rPr>
        <w:t>(liczba godzin pracy z bezpośrednim udziałem nauczycieli + samodzielna praca studenta)</w:t>
      </w:r>
    </w:p>
    <w:p w:rsidR="00373AC5" w:rsidRDefault="00373AC5" w:rsidP="00373AC5">
      <w:pPr>
        <w:ind w:left="567"/>
        <w:contextualSpacing/>
        <w:rPr>
          <w:rFonts w:asciiTheme="minorHAnsi" w:hAnsiTheme="minorHAnsi" w:cstheme="minorHAnsi"/>
          <w:b/>
          <w:sz w:val="20"/>
          <w:szCs w:val="20"/>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373AC5" w:rsidTr="00373AC5">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Łączna Liczba ECTS z bezp. udziałem nauczycieli</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ECTS z bezp. udziałem nauczycieli w łącznej liczbie ECTS programu studiów</w:t>
            </w:r>
          </w:p>
        </w:tc>
      </w:tr>
      <w:tr w:rsidR="00373AC5" w:rsidTr="00373AC5">
        <w:trPr>
          <w:trHeight w:val="97"/>
        </w:trPr>
        <w:tc>
          <w:tcPr>
            <w:tcW w:w="1384"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i/>
                <w:color w:val="FF0000"/>
                <w:sz w:val="20"/>
                <w:szCs w:val="20"/>
              </w:rPr>
            </w:pPr>
            <w:r w:rsidRPr="00916E96">
              <w:rPr>
                <w:rFonts w:asciiTheme="minorHAnsi" w:hAnsiTheme="minorHAnsi" w:cstheme="minorHAnsi"/>
                <w:b/>
                <w:i/>
                <w:sz w:val="20"/>
                <w:szCs w:val="20"/>
              </w:rPr>
              <w:t>101,</w:t>
            </w:r>
            <w:r w:rsidR="00D333EB" w:rsidRPr="00916E96">
              <w:rPr>
                <w:rFonts w:asciiTheme="minorHAnsi" w:hAnsiTheme="minorHAnsi" w:cstheme="minorHAnsi"/>
                <w:b/>
                <w:i/>
                <w:sz w:val="20"/>
                <w:szCs w:val="20"/>
              </w:rPr>
              <w:t>60</w:t>
            </w:r>
          </w:p>
        </w:tc>
        <w:tc>
          <w:tcPr>
            <w:tcW w:w="1560"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i/>
                <w:color w:val="FF0000"/>
                <w:sz w:val="20"/>
                <w:szCs w:val="20"/>
              </w:rPr>
            </w:pPr>
            <w:r w:rsidRPr="00916E96">
              <w:rPr>
                <w:rFonts w:asciiTheme="minorHAnsi" w:hAnsiTheme="minorHAnsi" w:cstheme="minorHAnsi"/>
                <w:b/>
                <w:i/>
                <w:sz w:val="20"/>
                <w:szCs w:val="20"/>
              </w:rPr>
              <w:t>56,</w:t>
            </w:r>
            <w:r w:rsidR="00D333EB" w:rsidRPr="00916E96">
              <w:rPr>
                <w:rFonts w:asciiTheme="minorHAnsi" w:hAnsiTheme="minorHAnsi" w:cstheme="minorHAnsi"/>
                <w:b/>
                <w:i/>
                <w:sz w:val="20"/>
                <w:szCs w:val="20"/>
              </w:rPr>
              <w:t>44</w:t>
            </w:r>
            <w:r w:rsidR="00617F30" w:rsidRPr="00916E96">
              <w:rPr>
                <w:rFonts w:asciiTheme="minorHAnsi" w:hAnsiTheme="minorHAnsi" w:cstheme="minorHAnsi"/>
                <w:b/>
                <w:i/>
                <w:sz w:val="20"/>
                <w:szCs w:val="20"/>
              </w:rPr>
              <w:t>%</w:t>
            </w:r>
          </w:p>
        </w:tc>
      </w:tr>
    </w:tbl>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Łączna liczba pkt ECTS zajęć z bezpośrednim </w:t>
      </w:r>
    </w:p>
    <w:p w:rsidR="00373AC5" w:rsidRDefault="00373AC5" w:rsidP="00373AC5">
      <w:pPr>
        <w:ind w:left="567"/>
        <w:contextualSpacing/>
        <w:rPr>
          <w:rFonts w:asciiTheme="minorHAnsi" w:hAnsiTheme="minorHAnsi" w:cstheme="minorHAnsi"/>
          <w:b/>
          <w:sz w:val="20"/>
          <w:szCs w:val="20"/>
        </w:rPr>
      </w:pPr>
      <w:r>
        <w:rPr>
          <w:rFonts w:asciiTheme="minorHAnsi" w:hAnsiTheme="minorHAnsi" w:cstheme="minorHAnsi"/>
          <w:b/>
          <w:sz w:val="20"/>
          <w:szCs w:val="20"/>
        </w:rPr>
        <w:t xml:space="preserve">udziałem nauczycieli: </w:t>
      </w:r>
    </w:p>
    <w:p w:rsidR="00373AC5" w:rsidRDefault="00373AC5" w:rsidP="00373AC5">
      <w:pPr>
        <w:ind w:left="567"/>
        <w:contextualSpacing/>
        <w:rPr>
          <w:rFonts w:asciiTheme="minorHAnsi" w:hAnsiTheme="minorHAnsi" w:cstheme="minorHAnsi"/>
          <w:b/>
          <w:color w:val="3333FF"/>
          <w:sz w:val="20"/>
          <w:szCs w:val="20"/>
        </w:rPr>
      </w:pPr>
    </w:p>
    <w:p w:rsidR="00373AC5" w:rsidRDefault="00373AC5" w:rsidP="00373AC5">
      <w:pPr>
        <w:ind w:left="567"/>
        <w:contextualSpacing/>
        <w:rPr>
          <w:rFonts w:asciiTheme="minorHAnsi" w:hAnsiTheme="minorHAnsi" w:cstheme="minorHAnsi"/>
          <w:b/>
          <w:color w:val="3333FF"/>
          <w:sz w:val="20"/>
          <w:szCs w:val="20"/>
        </w:rPr>
      </w:pPr>
    </w:p>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lastRenderedPageBreak/>
        <w:t xml:space="preserve">Liczba punktów ECTS zajęć z dziedziny nauk humanistycznych i społecznych </w:t>
      </w:r>
      <w:r>
        <w:rPr>
          <w:rFonts w:asciiTheme="minorHAnsi" w:hAnsiTheme="minorHAnsi" w:cstheme="minorHAnsi"/>
          <w:sz w:val="20"/>
          <w:szCs w:val="20"/>
        </w:rPr>
        <w:t>(min. 5 pkt. ECTS w przypadku kierunku przyporządkowanego do dyscyplin w ramach dziedzin innych niż nauki humanistyczne i społeczne):</w:t>
      </w:r>
    </w:p>
    <w:p w:rsidR="00373AC5" w:rsidRDefault="00373AC5" w:rsidP="00373AC5">
      <w:pPr>
        <w:spacing w:after="160" w:line="256" w:lineRule="auto"/>
        <w:contextualSpacing/>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7330"/>
        <w:gridCol w:w="1346"/>
      </w:tblGrid>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Lp.</w:t>
            </w:r>
          </w:p>
        </w:tc>
        <w:tc>
          <w:tcPr>
            <w:tcW w:w="4046" w:type="pct"/>
            <w:tcBorders>
              <w:top w:val="single" w:sz="4" w:space="0" w:color="auto"/>
              <w:left w:val="single" w:sz="4" w:space="0" w:color="auto"/>
              <w:bottom w:val="single" w:sz="4" w:space="0" w:color="auto"/>
              <w:right w:val="single" w:sz="4" w:space="0" w:color="auto"/>
            </w:tcBorders>
            <w:shd w:val="clear" w:color="auto" w:fill="B7DEE8"/>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Przedmiot/moduł kształcenia</w:t>
            </w:r>
          </w:p>
        </w:tc>
        <w:tc>
          <w:tcPr>
            <w:tcW w:w="744"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ECTS</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hAnsiTheme="minorHAnsi" w:cstheme="minorHAnsi"/>
                <w:sz w:val="20"/>
                <w:szCs w:val="20"/>
              </w:rPr>
              <w:t>Filozofia i podstawy etyki/ Człowiek, umysł i kompetencje moralne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Podstawy pedagogiki/ Podstawy andragogiki</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3</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Historia dietetyki/ Dietetyka w medycynie i kulturze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 xml:space="preserve">Komunikacja w dietetyce/ Podstawy relacji w </w:t>
            </w:r>
            <w:proofErr w:type="spellStart"/>
            <w:r>
              <w:rPr>
                <w:rFonts w:asciiTheme="minorHAnsi" w:hAnsiTheme="minorHAnsi" w:cstheme="minorHAnsi"/>
                <w:sz w:val="20"/>
                <w:szCs w:val="20"/>
              </w:rPr>
              <w:t>dietoterapii</w:t>
            </w:r>
            <w:proofErr w:type="spellEnd"/>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5</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Techniki edukacji dietetycznej</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6</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Podstawy etyki dla dietetyka</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7</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Pieniądz i jego ewidencja w procesie kierowania małą firmą/ Finanse i rachunkowość w MSP (Małe i Średnie Przedsiębiorstwo) i w jednostkach budżetowych</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8</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Prawo i ekonomika w ochrony zdrowia</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9</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Umiejętności społeczne w dietetyce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bl>
    <w:p w:rsidR="00373AC5" w:rsidRDefault="00373AC5" w:rsidP="00373AC5">
      <w:pPr>
        <w:spacing w:after="160" w:line="256" w:lineRule="auto"/>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Wymiar oraz liczbę punktów ECTS praktyk zawodowych </w:t>
      </w:r>
      <w:r>
        <w:rPr>
          <w:rFonts w:asciiTheme="minorHAnsi" w:hAnsiTheme="minorHAnsi" w:cstheme="minorHAnsi"/>
          <w:sz w:val="20"/>
          <w:szCs w:val="20"/>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373AC5" w:rsidTr="00373AC5">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ECTS</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Wymiar</w:t>
            </w:r>
          </w:p>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(liczba godzin)</w:t>
            </w:r>
          </w:p>
        </w:tc>
      </w:tr>
      <w:tr w:rsidR="00373AC5" w:rsidTr="00373AC5">
        <w:trPr>
          <w:trHeight w:val="97"/>
        </w:trPr>
        <w:tc>
          <w:tcPr>
            <w:tcW w:w="1384"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sz w:val="20"/>
                <w:szCs w:val="20"/>
              </w:rPr>
            </w:pPr>
            <w:r>
              <w:rPr>
                <w:rFonts w:asciiTheme="minorHAnsi" w:hAnsiTheme="minorHAnsi" w:cstheme="minorHAnsi"/>
                <w:b/>
                <w:sz w:val="20"/>
                <w:szCs w:val="20"/>
              </w:rPr>
              <w:t>24</w:t>
            </w:r>
          </w:p>
        </w:tc>
        <w:tc>
          <w:tcPr>
            <w:tcW w:w="1560"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sz w:val="20"/>
                <w:szCs w:val="20"/>
              </w:rPr>
            </w:pPr>
            <w:r>
              <w:rPr>
                <w:rFonts w:asciiTheme="minorHAnsi" w:hAnsiTheme="minorHAnsi" w:cstheme="minorHAnsi"/>
                <w:b/>
                <w:sz w:val="20"/>
                <w:szCs w:val="20"/>
              </w:rPr>
              <w:t>705</w:t>
            </w:r>
          </w:p>
        </w:tc>
      </w:tr>
    </w:tbl>
    <w:p w:rsidR="00373AC5" w:rsidRDefault="00373AC5" w:rsidP="00373AC5">
      <w:pPr>
        <w:rPr>
          <w:rFonts w:asciiTheme="minorHAnsi" w:hAnsiTheme="minorHAnsi" w:cstheme="minorHAnsi"/>
          <w:b/>
          <w:sz w:val="20"/>
          <w:szCs w:val="20"/>
        </w:rPr>
      </w:pPr>
    </w:p>
    <w:p w:rsidR="00373AC5" w:rsidRDefault="00373AC5" w:rsidP="00373AC5">
      <w:pPr>
        <w:keepNext/>
        <w:keepLines/>
        <w:spacing w:before="40" w:after="0"/>
        <w:outlineLvl w:val="1"/>
        <w:rPr>
          <w:rFonts w:asciiTheme="minorHAnsi" w:eastAsia="Times New Roman" w:hAnsiTheme="minorHAnsi" w:cstheme="minorHAnsi"/>
          <w:b/>
          <w:color w:val="365F91"/>
          <w:sz w:val="20"/>
          <w:szCs w:val="20"/>
        </w:rPr>
      </w:pPr>
    </w:p>
    <w:p w:rsidR="00373AC5" w:rsidRDefault="00373AC5" w:rsidP="00373AC5">
      <w:pPr>
        <w:spacing w:after="0"/>
        <w:rPr>
          <w:rFonts w:asciiTheme="minorHAnsi" w:eastAsia="Times New Roman" w:hAnsiTheme="minorHAnsi" w:cstheme="minorHAnsi"/>
          <w:b/>
          <w:color w:val="365F91"/>
          <w:sz w:val="20"/>
          <w:szCs w:val="20"/>
        </w:rPr>
        <w:sectPr w:rsidR="00373AC5">
          <w:pgSz w:w="11906" w:h="16838"/>
          <w:pgMar w:top="1417" w:right="1417" w:bottom="1417" w:left="1417" w:header="708" w:footer="708" w:gutter="0"/>
          <w:cols w:space="708"/>
        </w:sectPr>
      </w:pPr>
    </w:p>
    <w:p w:rsidR="00373AC5" w:rsidRDefault="00373AC5" w:rsidP="00373AC5">
      <w:pPr>
        <w:keepNext/>
        <w:keepLines/>
        <w:spacing w:before="40" w:after="0"/>
        <w:outlineLvl w:val="1"/>
        <w:rPr>
          <w:rFonts w:asciiTheme="minorHAnsi" w:eastAsia="Times New Roman" w:hAnsiTheme="minorHAnsi" w:cstheme="minorHAnsi"/>
          <w:color w:val="365F91"/>
          <w:sz w:val="20"/>
          <w:szCs w:val="20"/>
        </w:rPr>
      </w:pPr>
      <w:r>
        <w:rPr>
          <w:rFonts w:asciiTheme="minorHAnsi" w:eastAsia="Times New Roman" w:hAnsiTheme="minorHAnsi" w:cstheme="minorHAnsi"/>
          <w:b/>
          <w:color w:val="365F91"/>
          <w:sz w:val="20"/>
          <w:szCs w:val="20"/>
        </w:rPr>
        <w:lastRenderedPageBreak/>
        <w:t xml:space="preserve">Część C. </w:t>
      </w:r>
      <w:r>
        <w:rPr>
          <w:rFonts w:asciiTheme="minorHAnsi" w:eastAsia="Times New Roman" w:hAnsiTheme="minorHAnsi" w:cstheme="minorHAnsi"/>
          <w:color w:val="365F91"/>
          <w:sz w:val="20"/>
          <w:szCs w:val="20"/>
        </w:rPr>
        <w:t>INFORMACJE SZCZEGÓŁOWE O KIERUNKU</w:t>
      </w:r>
    </w:p>
    <w:p w:rsidR="00373AC5" w:rsidRDefault="00373AC5" w:rsidP="00373AC5">
      <w:pPr>
        <w:numPr>
          <w:ilvl w:val="0"/>
          <w:numId w:val="12"/>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Efekty uczenia się </w:t>
      </w:r>
      <w:r>
        <w:rPr>
          <w:rFonts w:asciiTheme="minorHAnsi" w:hAnsiTheme="minorHAnsi" w:cstheme="minorHAnsi"/>
          <w:sz w:val="20"/>
          <w:szCs w:val="20"/>
        </w:rPr>
        <w:t xml:space="preserve">(jednakowe dla obu form studiów) </w:t>
      </w:r>
    </w:p>
    <w:p w:rsidR="00373AC5" w:rsidRDefault="00373AC5" w:rsidP="00373AC5">
      <w:pPr>
        <w:spacing w:after="160" w:line="256" w:lineRule="auto"/>
        <w:contextualSpacing/>
        <w:rPr>
          <w:rFonts w:asciiTheme="minorHAnsi" w:hAnsiTheme="minorHAnsi" w:cstheme="minorHAnsi"/>
          <w:b/>
          <w:sz w:val="20"/>
          <w:szCs w:val="20"/>
        </w:rPr>
      </w:pPr>
    </w:p>
    <w:tbl>
      <w:tblPr>
        <w:tblW w:w="5133"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6951"/>
        <w:gridCol w:w="1535"/>
      </w:tblGrid>
      <w:tr w:rsidR="00373AC5" w:rsidTr="00373AC5">
        <w:trPr>
          <w:trHeight w:val="465"/>
        </w:trPr>
        <w:tc>
          <w:tcPr>
            <w:tcW w:w="439" w:type="pct"/>
            <w:tcBorders>
              <w:top w:val="single" w:sz="4" w:space="0" w:color="auto"/>
              <w:left w:val="single" w:sz="4" w:space="0" w:color="auto"/>
              <w:bottom w:val="single" w:sz="4" w:space="0" w:color="auto"/>
              <w:right w:val="single" w:sz="4" w:space="0" w:color="auto"/>
            </w:tcBorders>
            <w:shd w:val="clear" w:color="auto" w:fill="B7DEE8"/>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Symbol efektu uczenia się</w:t>
            </w:r>
          </w:p>
        </w:tc>
        <w:tc>
          <w:tcPr>
            <w:tcW w:w="3736"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Treść kierunkowego efektu uczenia się</w:t>
            </w:r>
          </w:p>
        </w:tc>
        <w:tc>
          <w:tcPr>
            <w:tcW w:w="825"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Odniesienie do charakterystyk PRK</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WIEDZA</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Wykazuje znajomość anatomii i fizjologii człowieka ze szczególnym uwzględnieniem układu pokarmowego oraz procesów trawienia i wchłaniania.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Rozumie i wyjaśnia wzajemne zależności pomiędzy układem pokarmowym a  układem  nerwowym, krążenia i oddychania,  moczowym i  dokrewnym.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Zna, rozumie i wykorzystuje w praktyce podstawową wiedzę z zakresu biochemii ogólnej i klinicznej, chemii żywności, mikrobiologii ogólnej i żywności, fizjologii oraz parazytologii.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Zna mechanizmy dziedziczenia, genetyczne i środowiskowe uwarunkowania cech człowieka, choroby uwarunkowane genetycznie i ich związek z żywieniem i możliwości leczenia dietetycznego.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Zna funkcje fizjologiczne białek, tłuszczów, węglowodanów oraz elektrolitów, pierwiastków śladowych, witamin i hormonów.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pojęcia z zakresu medycyny klinicznej.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procedury wykorzystywane w diagnostyce laboratoryjnej i metody badań analitycznych oraz interpretuje wyniki badań laboratoryjnych na poziomie pozwalającym ustalić założenia diety dla pacjenta.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0" w:lineRule="exact"/>
              <w:rPr>
                <w:rFonts w:asciiTheme="minorHAnsi" w:hAnsiTheme="minorHAnsi" w:cstheme="minorHAnsi"/>
                <w:sz w:val="20"/>
                <w:szCs w:val="20"/>
              </w:rPr>
            </w:pPr>
            <w:r>
              <w:rPr>
                <w:rFonts w:asciiTheme="minorHAnsi" w:hAnsiTheme="minorHAnsi" w:cstheme="minorHAnsi"/>
                <w:sz w:val="20"/>
                <w:szCs w:val="20"/>
              </w:rPr>
              <w:t>W08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rozumie i wykorzystuje w codziennej praktyce podstawy farmakologii i farmakoterapii żywieniowej oraz interakcji leków oraz suplementów diety z żywnością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zasady i podstawy fizjologiczne dietetyki pediatrycznej oraz zasady żywienia kobiet w okresie ciąży i w okresie karmienia piersią.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i wdraża zasady zdrowego żywienia i stylu życia dla dzieci, młodzieży i dorosłych w każdej grupie wiekowej.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przyczyny i skutki zaburzeń odżywiania.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zasady postępowania dietetycznego w chorobach w zależności od stopnia zaawansowania choroby.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W13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wpływ na stan odżywienia chorób układu pokarmowego, krążenia, oddychania, kostnego, rozrodczego i nerwowego oraz chorób zakaźnych (w tym wirusowych), chorób pasożytniczych i nowotworów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W14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Zna technologię potraw oraz podstawy towaroznawstwa żywności. Zna metody przechowywania żywności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historię żywności i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zasady organizacji żywienia w zakładach żywienia zbiorowego typu zamkniętego i otwartego.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organizacje stanowisk pracy zgodnie z wymogami ergonomii, warunki sanitarno-higieniczne produkcji żywności w zakładach żywienia zbiorowego i przemysłu spożywczego oraz współczesne systemy zapewnienia bezpieczeństwa żywności i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podstawy polskiego i europejskiego ustawodawstwa żywnościowo-żywieniowego.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W19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Rozumie procesy rozwoju osobniczego od dzieciństwa do późnej starości i zna zasady planowania żywienia dostosowanego do naturalnych etapów rozwoju człowieka.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W20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psychologiczne uwarunkowania kontaktu z pacjentem, style komunikowania oraz bariery w komunikowaniu niezbędna dla prowadzenia edukacji żywieniowej.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W21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podstawy społecznych i ekonomicznych uwarunkowań zdrowia i choroby.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W22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Rozumie wpływ bodźców społecznych i ekonomicznych na zachowania człowieka (w tym zachowania zdrowotne) jak i całego społeczeństwa.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lastRenderedPageBreak/>
              <w:t>W23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podstawową wiedzę z zakresu nauk społecznych oraz zna podstawy relacji społecznych.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0" w:lineRule="atLeast"/>
              <w:rPr>
                <w:rFonts w:asciiTheme="minorHAnsi" w:eastAsia="Times New Roman" w:hAnsiTheme="minorHAnsi" w:cstheme="minorHAnsi"/>
                <w:sz w:val="20"/>
                <w:szCs w:val="20"/>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W24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Definiuje pojęcia związane ze zdrowiem i stylem życia.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Zna cele i zadania zdrowia publicznego, czynniki determinujące zdrowie oraz aktualne problemy zdrowotne ludności w Polsce i metody ich zaspokajania.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ind w:left="60"/>
              <w:rPr>
                <w:rFonts w:asciiTheme="minorHAnsi" w:hAnsiTheme="minorHAnsi" w:cstheme="minorHAnsi"/>
                <w:sz w:val="20"/>
                <w:szCs w:val="20"/>
              </w:rPr>
            </w:pPr>
            <w:r>
              <w:rPr>
                <w:rFonts w:asciiTheme="minorHAnsi" w:hAnsiTheme="minorHAnsi" w:cstheme="minorHAnsi"/>
                <w:sz w:val="20"/>
                <w:szCs w:val="20"/>
              </w:rPr>
              <w:t>Zna organizację ochrony zdrowia w Polsce oraz programy profilaktyczne realizowane w ramach zdrowia publicznego i jest świadomy miejsca dietetyki w ramach organizacji systemu ochrony zdrowia na poziomie krajowym.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ind w:left="60"/>
              <w:rPr>
                <w:rFonts w:asciiTheme="minorHAnsi" w:hAnsiTheme="minorHAnsi" w:cstheme="minorHAnsi"/>
                <w:sz w:val="20"/>
                <w:szCs w:val="20"/>
              </w:rPr>
            </w:pPr>
            <w:r>
              <w:rPr>
                <w:rFonts w:asciiTheme="minorHAnsi" w:hAnsiTheme="minorHAnsi" w:cstheme="minorHAnsi"/>
                <w:sz w:val="20"/>
                <w:szCs w:val="20"/>
              </w:rPr>
              <w:t xml:space="preserve">Zna zasady i znaczenie promocji zdrowia, właściwego odżywiania i zdrowego stylu życia w profilaktyce chorób społecznych i </w:t>
            </w:r>
            <w:proofErr w:type="spellStart"/>
            <w:r>
              <w:rPr>
                <w:rFonts w:asciiTheme="minorHAnsi" w:hAnsiTheme="minorHAnsi" w:cstheme="minorHAnsi"/>
                <w:sz w:val="20"/>
                <w:szCs w:val="20"/>
              </w:rPr>
              <w:t>dietozależnych</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wpływ czynników szkodliwych dla zdrowia i życia człowieka w najbliższym otoczeniu (środowisko naturalne). Zna nawyki propagujące zachowanie zasobów przyrody, stylu życia oraz służące podnoszeniu świadomości ekologicznej.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etyczne i prawne uwarunkowania zawodu dietetyka oraz zna i rozumie podstawowe pojęcia i zasady z zakresu ochrony własności przemysłowej i prawa autorskiego.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W30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 xml:space="preserve">Zna podstawowe zasady konstruowania pracy naukowej pod względem formalnym i metodologicznym. Zna podstawowe pojęcia statystyczne wykorzystywane w opracowaniach badań medycznych oraz metody analizy statystycznej i pracy naukowej z wykorzystaniem różnych programów komputerowych.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P7S_WG</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UMIEJĘTNOŚCI</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Prowadzi edukację żywieniową dla osób zdrowych  i chorych, ich rodzin oraz pracowników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Posiada podstawową umiejętność przygotowania prac pisemnych oraz wystąpień ustnych  dotyczących zagadnień związanych z poradnictwem dietetycznym w oparciu o współczesne piśmiennictwo w języku polskim i obcym.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przygotować jasne i zrozumiałe materiały edukacyjne dla pacjenta w podstawowych jednostkach chorobowych i stanach fizjologicznych.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udzielić porady dietetycznej w ramach zespołu terapeutycznego.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P6S_UO</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Potrafi prowadzić dokumentację dotycząca podejmowanych działań.</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pracować w zespole wielodyscyplinarnym w celu zapewnienia ciągłości opieki nad pacjentem.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P6S_UO</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Rozpoznaje i dokonuje korekty sposobu żywienia u osób z nieprawidłową masą ciała (niedożywionych oraz/lub osób z nadwagą/otyłością).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Rozumie wzajemne relacje pomiędzy przewlekłymi chorobami a stanem odżywienia i potrafi zaplanować i wdrożyć żywienie dostosowane do zaburzeń metabolicznych wywołanych urazem lub chorobą.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rozpoznać rodzaj niedożywienia i zaplanować odpowiednie postępowanie żywieniowe.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Potrafi przewidzieć skutki wstrzymania podaży pożywienia w przebiegu choroby i zaplanować odpowiednie postępowanie żywieniowe w celu zapobiegania następstwom głodzenia.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wykorzystać wyniki badań laboratoryjnych w planowaniu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Potrafi przeprowadzić wywiad żywieniowy i dokonać oceny stanu odżywienia w oparciu o badania przesiewowe i pogłębiona ocenę stanu odżywienia.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wykazać rolę dietetyka w monitorowaniu odżywiania się chorych w szpitalu.</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U14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Potrafi w podstawowym zakresie posługiwać się wiedzą o efektach leków oraz suplementów diety i ich interakcjach z żywnością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U15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 xml:space="preserve">Posiada umiejętność wykorzystywania wiedzy o budowie chemicznej, właściwościach i funkcji podstawowych składników żywności w </w:t>
            </w:r>
            <w:proofErr w:type="spellStart"/>
            <w:r>
              <w:rPr>
                <w:rFonts w:asciiTheme="minorHAnsi" w:hAnsiTheme="minorHAnsi" w:cstheme="minorHAnsi"/>
                <w:color w:val="000000" w:themeColor="text1"/>
                <w:sz w:val="20"/>
                <w:szCs w:val="20"/>
              </w:rPr>
              <w:t>dietoterapii</w:t>
            </w:r>
            <w:proofErr w:type="spellEnd"/>
            <w:r>
              <w:rPr>
                <w:rFonts w:asciiTheme="minorHAnsi" w:hAnsiTheme="minorHAnsi" w:cstheme="minorHAnsi"/>
                <w:color w:val="000000" w:themeColor="text1"/>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U16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Potrafi obliczyć indywidualne zapotrzebowanie na energię oraz makro i mikroskładniki odżywcze.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dokonać odpowiedniego doboru surowców do produkcji potraw stosowanych w </w:t>
            </w:r>
            <w:proofErr w:type="spellStart"/>
            <w:r>
              <w:rPr>
                <w:rFonts w:asciiTheme="minorHAnsi" w:hAnsiTheme="minorHAnsi" w:cstheme="minorHAnsi"/>
                <w:sz w:val="20"/>
                <w:szCs w:val="20"/>
              </w:rPr>
              <w:t>dietoterapii</w:t>
            </w:r>
            <w:proofErr w:type="spellEnd"/>
            <w:r>
              <w:rPr>
                <w:rFonts w:asciiTheme="minorHAnsi" w:hAnsiTheme="minorHAnsi" w:cstheme="minorHAnsi"/>
                <w:sz w:val="20"/>
                <w:szCs w:val="20"/>
              </w:rPr>
              <w:t xml:space="preserve"> oraz zastosować odpowiednie techniki sporządzania potraw.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lastRenderedPageBreak/>
              <w:t>U18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określić wartość odżywczą i energetyczną diet na podstawie tabel wartości odżywczej produktów spożywczych i typowych potraw oraz programów komputerowych.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U19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Potrafi w podstawowym zakresie zaplanować prawidłowe żywienie kobiety w ciąży i karmiącej.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zaplanować i wdrożyć żywienia dostosowane do potrzeb osób w podeszłym wieku.</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Potrafi w oparciu o znajomość fizjologii wysiłku zaplanować  i wdrożyć żywienie </w:t>
            </w:r>
            <w:r>
              <w:rPr>
                <w:rFonts w:asciiTheme="minorHAnsi" w:hAnsiTheme="minorHAnsi" w:cstheme="minorHAnsi"/>
                <w:sz w:val="20"/>
                <w:szCs w:val="20"/>
              </w:rPr>
              <w:t>dla osób aktywnych fizycznie.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U22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rPr>
                <w:rFonts w:asciiTheme="minorHAnsi" w:hAnsiTheme="minorHAnsi" w:cstheme="minorHAnsi"/>
                <w:sz w:val="20"/>
                <w:szCs w:val="20"/>
              </w:rPr>
            </w:pPr>
            <w:r>
              <w:rPr>
                <w:rFonts w:asciiTheme="minorHAnsi" w:hAnsiTheme="minorHAnsi" w:cstheme="minorHAnsi"/>
                <w:sz w:val="20"/>
                <w:szCs w:val="20"/>
              </w:rPr>
              <w:t xml:space="preserve">Potrafi zaplanować i wdrożyć odpowiednie postępowanie żywieniowe w zakresie zapobiegania i leczenia chorób </w:t>
            </w:r>
            <w:proofErr w:type="spellStart"/>
            <w:r>
              <w:rPr>
                <w:rFonts w:asciiTheme="minorHAnsi" w:hAnsiTheme="minorHAnsi" w:cstheme="minorHAnsi"/>
                <w:sz w:val="20"/>
                <w:szCs w:val="20"/>
              </w:rPr>
              <w:t>dietozależnych</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Umie posługiwać się zaleceniami żywieniowymi i normami stosowanymi w zakładach żywienia zbiorowego.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U24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Potrafi udzielać pierwszej pomocy w stanach zagrożenia życia i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Posługuje się językiem obcym w stopniu umożliwiającym korzystanie z piśmiennictwa zawodowego i podstawową komunikację, zgodnie z wymaganiami określonymi dla poziomu B2 Europejskiego Systemu Opisu Kształcenia Językowego.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P6S_UK</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rPr>
                <w:rFonts w:asciiTheme="minorHAnsi" w:hAnsiTheme="minorHAnsi" w:cstheme="minorHAnsi"/>
                <w:sz w:val="20"/>
                <w:szCs w:val="20"/>
              </w:rPr>
            </w:pPr>
            <w:r>
              <w:rPr>
                <w:rFonts w:asciiTheme="minorHAnsi" w:hAnsiTheme="minorHAnsi" w:cstheme="minorHAnsi"/>
                <w:sz w:val="20"/>
                <w:szCs w:val="20"/>
              </w:rPr>
              <w:t>Posiada umiejętność obsługi komputera oraz pozyskiwania, gromadzenia i przechowywania i przetwarzania danych związanych z wykonywanym zawodem.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wyrazić swoją wiedzę pisemnie i ustnie (m.in. poprzez przeprowadzenie prezentacji) na poziomie akademickim. Dba o poprawność formy komunikatu oraz krytycznie analizuje źródła wiedzy celem upowszechnienia postępowania w nurcie '</w:t>
            </w:r>
            <w:proofErr w:type="spellStart"/>
            <w:r>
              <w:rPr>
                <w:rFonts w:asciiTheme="minorHAnsi" w:hAnsiTheme="minorHAnsi" w:cstheme="minorHAnsi"/>
                <w:sz w:val="20"/>
                <w:szCs w:val="20"/>
              </w:rPr>
              <w:t>evidence-based</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U28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 podstawowym stopniu potrafi stosować uwarunkowania ekonomiczno-prawne tworzenia i rozwoju form indywidualnej przedsiębiorczości w zakresie świadczenia usług związanych w poradnictwem dietetycznym.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w podstawowym zakresie posługiwać się systemami normatywnymi oraz wybranymi normami i regułami (prawnymi, zawodowymi, moralnymi) w celu rozwiązania konkretnego zadania z zakresu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P6S_UO</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U30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Posiada umiejętności korzystania z wiedzy dotyczącej prawa własności intelektualnej w funkcjonowaniu jednostek ochrony zdrowia (m.in. prawa autorskie, prawa własności przemysłowej, ochrona baz danych)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P6S_UO</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KOMPETENCJE </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świadomość własnych ograniczeń i wie kiedy zwrócić się do innych specjalistów.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taktownie i skutecznie zasugerować pacjentowi potrzebę konsultacji specjalistycznej.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umiejętność stałego dokształcania się.</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zasad etyki zawodowej.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Stawia dobro pacjenta oraz grup społecznych na pierwszym miejscu i okazuje szacunek wobec pacjenta (klienta) i grup społecznych.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praw pacjenta, w tym prawa do informacji dotyczącej proponowanego postępowania dietetycznego oraz jego możliwych następstw i ograniczeń.</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tajemnicy obowiązującej pracowników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brać odpowiedzialność za działania własne i właściwie organizować pracę własną.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myśleć i działać w sposób przedsiębiorczy.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zasad bezpieczeństwa i higieny pracy oraz ergonomii.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Efektywnie prezentuje własne pomysły, wątpliwości i sugestie, popierając je argumentacją w kontekście wybranych perspektyw teoretycznych, poglądów różnych autorów.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P6S_KO</w:t>
            </w:r>
          </w:p>
        </w:tc>
      </w:tr>
    </w:tbl>
    <w:p w:rsidR="00373AC5" w:rsidRDefault="00373AC5" w:rsidP="00373AC5">
      <w:pPr>
        <w:spacing w:after="0"/>
        <w:rPr>
          <w:rFonts w:asciiTheme="minorHAnsi" w:hAnsiTheme="minorHAnsi" w:cstheme="minorHAnsi"/>
          <w:b/>
          <w:sz w:val="20"/>
          <w:szCs w:val="20"/>
        </w:rPr>
        <w:sectPr w:rsidR="00373AC5">
          <w:pgSz w:w="11906" w:h="16838"/>
          <w:pgMar w:top="1417" w:right="1417" w:bottom="1417" w:left="1417" w:header="708" w:footer="708" w:gutter="0"/>
          <w:cols w:space="708"/>
        </w:sect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lastRenderedPageBreak/>
        <w:t>2.       Wykaz zajęć lub grup zajęć wraz z przypisaniem do nich efektów uczenia się i treści programowych zapewniających uzyskanie tych efektów*</w:t>
      </w:r>
    </w:p>
    <w:tbl>
      <w:tblPr>
        <w:tblStyle w:val="Tabela-Siatka"/>
        <w:tblpPr w:leftFromText="141" w:rightFromText="141" w:vertAnchor="text" w:tblpY="1"/>
        <w:tblOverlap w:val="never"/>
        <w:tblW w:w="4850" w:type="pct"/>
        <w:tblInd w:w="0" w:type="dxa"/>
        <w:tblLook w:val="04A0" w:firstRow="1" w:lastRow="0" w:firstColumn="1" w:lastColumn="0" w:noHBand="0" w:noVBand="1"/>
      </w:tblPr>
      <w:tblGrid>
        <w:gridCol w:w="470"/>
        <w:gridCol w:w="1953"/>
        <w:gridCol w:w="942"/>
        <w:gridCol w:w="933"/>
        <w:gridCol w:w="2753"/>
        <w:gridCol w:w="1794"/>
      </w:tblGrid>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Lp.</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zajęcia/grupa zajęć</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ECTS</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Symbole efektów uczenia się</w:t>
            </w:r>
          </w:p>
        </w:tc>
        <w:tc>
          <w:tcPr>
            <w:tcW w:w="281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podstawowe treści programowe</w:t>
            </w:r>
          </w:p>
          <w:p w:rsidR="00373AC5" w:rsidRDefault="00373AC5">
            <w:pPr>
              <w:spacing w:after="0" w:line="240" w:lineRule="auto"/>
              <w:jc w:val="center"/>
              <w:rPr>
                <w:rFonts w:asciiTheme="minorHAnsi" w:eastAsia="Times New Roman" w:hAnsiTheme="minorHAnsi" w:cstheme="minorHAnsi"/>
                <w:b/>
                <w:bCs/>
                <w:sz w:val="20"/>
                <w:szCs w:val="20"/>
                <w:lang w:eastAsia="pl-PL"/>
              </w:rPr>
            </w:pPr>
          </w:p>
          <w:p w:rsidR="00373AC5" w:rsidRDefault="00373AC5">
            <w:pPr>
              <w:spacing w:after="0" w:line="240" w:lineRule="auto"/>
              <w:jc w:val="center"/>
              <w:rPr>
                <w:rFonts w:asciiTheme="minorHAnsi" w:eastAsia="Times New Roman" w:hAnsiTheme="minorHAnsi" w:cstheme="minorHAnsi"/>
                <w:b/>
                <w:bCs/>
                <w:sz w:val="20"/>
                <w:szCs w:val="20"/>
                <w:lang w:eastAsia="pl-PL"/>
              </w:rPr>
            </w:pP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metody oceny i weryfikacji EU</w:t>
            </w:r>
            <w:r>
              <w:rPr>
                <w:rFonts w:asciiTheme="minorHAnsi" w:eastAsia="Times New Roman" w:hAnsiTheme="minorHAnsi" w:cstheme="minorHAnsi"/>
                <w:b/>
                <w:bCs/>
                <w:color w:val="FF0000"/>
                <w:sz w:val="20"/>
                <w:szCs w:val="20"/>
                <w:lang w:eastAsia="pl-PL"/>
              </w:rPr>
              <w: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1.</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Anatomia człowieka </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pStyle w:val="NormalnyWeb"/>
              <w:spacing w:before="0" w:beforeAutospacing="0" w:after="0" w:afterAutospacing="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Wykłady:</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szkieletowy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stawowy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mięśniowy Układ sercowo-naczyniowy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oddechowy Układ trawienny Gruczoły układu trawiennego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Układ moczowy  Układy płciowe –męski i żeński</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Ośrodkowy układ nerwowy część 1</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Ośrodkowy układ nerwowy część 2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Autonomiczny układ nerwowy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wewnątrzwydzielniczy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Narządy zmysłów</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Powłoka wspólna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Rodzaje tkanek. Narządy i układy. Budowa i rodzaje kości. Podział szkieletu. Ogólna budowa i funkcje szkieletu.</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rodzaje połączeń kości. Cechy stawów, rodzaje, przykłady.</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Rodzaje i ogólna budowa mięśni. Podział mięśni na grupy i ich czynność.</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topografia serca. Krążenie małe i duże. Główne pnie i przewody chłonne.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Górne i dolne drogi oddechowe. Budowa płuc. Opłucna.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podział układu pokarmowego. Cechy budowy poszczególnych części układu pokarmowego. Otrzewna. Narządy zew. i wew. otrzewnowe.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 xml:space="preserve">Gruczoły przewodu pokarmowego (ślinianki, </w:t>
            </w:r>
            <w:r>
              <w:rPr>
                <w:rFonts w:eastAsia="Times New Roman" w:cstheme="minorHAnsi"/>
                <w:sz w:val="20"/>
                <w:szCs w:val="20"/>
                <w:lang w:eastAsia="pl-PL"/>
              </w:rPr>
              <w:lastRenderedPageBreak/>
              <w:t>wątroba i trzustka). Ruchy i odruchy przewodu pokarmowego.</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Topografia i budowa nerek. Drogi wyprowadzające mocz (moczowód, pęcherz moczowy, cewka moczowa).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Narządy płciowe wewnętrzne i zewnętrzne żeńskie.</w:t>
            </w:r>
            <w:r>
              <w:rPr>
                <w:rFonts w:eastAsia="Times New Roman" w:cstheme="minorHAnsi"/>
                <w:sz w:val="20"/>
                <w:szCs w:val="20"/>
                <w:lang w:eastAsia="pl-PL"/>
              </w:rPr>
              <w:br/>
              <w:t>Narządy płciowe wewnętrzne i zewnętrzne męskie.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Budowa nerwów rdzeniowych i czaszkowych. Zakres unerwienia nerwów czaszkowych oraz nerwów wychodzących ze splotów.</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Podział czynnościowy i topograficzny układu nerwowego. Komory mózgowia i krążenie płynu mózgowo-rdzeniowego. Płaty i zakręty półkul. Lokalizacja ośrodków w korze. Budowa rdzenia kręgowego. Opony mózgowia i rdzenia kręgowego.</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Układ nerwowy autonomiczny -podział oraz części układu współczulnego i przywspółczulnego, mediatory, czynność.</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Gruczoły dokrewne- budowa i topografia. Hormony i ich funkcja.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Narząd wzroku i słuchu.</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Skóra. Budowa i funkcja skóry. Przydatki skóry. Różnice regionalne i rozwojowe w budowie skóry.</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Biochemia ogólna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lang w:eastAsia="pl-PL"/>
              </w:rPr>
            </w:pPr>
            <w:r>
              <w:rPr>
                <w:rFonts w:asciiTheme="minorHAnsi" w:hAnsiTheme="minorHAnsi" w:cstheme="minorHAnsi"/>
                <w:sz w:val="20"/>
                <w:szCs w:val="20"/>
                <w:lang w:eastAsia="pl-PL"/>
              </w:rPr>
              <w:t>W03,</w:t>
            </w:r>
          </w:p>
          <w:p w:rsidR="00373AC5" w:rsidRDefault="00373AC5">
            <w:pPr>
              <w:spacing w:after="0" w:line="240" w:lineRule="auto"/>
              <w:jc w:val="center"/>
              <w:rPr>
                <w:rFonts w:asciiTheme="minorHAnsi" w:hAnsiTheme="minorHAnsi" w:cstheme="minorHAnsi"/>
                <w:sz w:val="20"/>
                <w:szCs w:val="20"/>
                <w:lang w:eastAsia="pl-PL"/>
              </w:rPr>
            </w:pPr>
            <w:r>
              <w:rPr>
                <w:rFonts w:asciiTheme="minorHAnsi" w:hAnsiTheme="minorHAnsi" w:cstheme="minorHAnsi"/>
                <w:sz w:val="20"/>
                <w:szCs w:val="20"/>
                <w:lang w:eastAsia="pl-PL"/>
              </w:rPr>
              <w:t>W05</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lang w:eastAsia="pl-PL"/>
              </w:rPr>
              <w:t>Enzymy. Koenzymy oraz rola witamin jako ich prekursorów. Cykl kwasu cytrynowego. Fosforylacja oksydacyjna.</w:t>
            </w:r>
            <w:r>
              <w:rPr>
                <w:rFonts w:asciiTheme="minorHAnsi" w:eastAsia="Times New Roman" w:hAnsiTheme="minorHAnsi" w:cstheme="minorHAnsi"/>
                <w:sz w:val="20"/>
                <w:szCs w:val="20"/>
                <w:lang w:eastAsia="pl-PL"/>
              </w:rPr>
              <w:t> </w:t>
            </w:r>
            <w:r>
              <w:rPr>
                <w:rFonts w:asciiTheme="minorHAnsi" w:hAnsiTheme="minorHAnsi" w:cstheme="minorHAnsi"/>
                <w:sz w:val="20"/>
                <w:szCs w:val="20"/>
                <w:lang w:eastAsia="pl-PL"/>
              </w:rPr>
              <w:t xml:space="preserve">Aminokwasy </w:t>
            </w:r>
            <w:proofErr w:type="spellStart"/>
            <w:r>
              <w:rPr>
                <w:rFonts w:asciiTheme="minorHAnsi" w:hAnsiTheme="minorHAnsi" w:cstheme="minorHAnsi"/>
                <w:sz w:val="20"/>
                <w:szCs w:val="20"/>
                <w:lang w:eastAsia="pl-PL"/>
              </w:rPr>
              <w:t>egzo</w:t>
            </w:r>
            <w:proofErr w:type="spellEnd"/>
            <w:r>
              <w:rPr>
                <w:rFonts w:asciiTheme="minorHAnsi" w:hAnsiTheme="minorHAnsi" w:cstheme="minorHAnsi"/>
                <w:sz w:val="20"/>
                <w:szCs w:val="20"/>
                <w:lang w:eastAsia="pl-PL"/>
              </w:rPr>
              <w:t xml:space="preserve">-endogenne, </w:t>
            </w:r>
            <w:proofErr w:type="spellStart"/>
            <w:r>
              <w:rPr>
                <w:rFonts w:asciiTheme="minorHAnsi" w:hAnsiTheme="minorHAnsi" w:cstheme="minorHAnsi"/>
                <w:sz w:val="20"/>
                <w:szCs w:val="20"/>
                <w:lang w:eastAsia="pl-PL"/>
              </w:rPr>
              <w:t>gluko-ketogenne</w:t>
            </w:r>
            <w:proofErr w:type="spellEnd"/>
            <w:r>
              <w:rPr>
                <w:rFonts w:asciiTheme="minorHAnsi" w:hAnsiTheme="minorHAnsi" w:cstheme="minorHAnsi"/>
                <w:sz w:val="20"/>
                <w:szCs w:val="20"/>
                <w:lang w:eastAsia="pl-PL"/>
              </w:rPr>
              <w:t xml:space="preserve"> oraz ich pochodne. Metabolizm węglowodanów i tłuszczów. Zaburzenia metabolizmu węglowodanów i </w:t>
            </w:r>
            <w:r>
              <w:rPr>
                <w:rFonts w:asciiTheme="minorHAnsi" w:hAnsiTheme="minorHAnsi" w:cstheme="minorHAnsi"/>
                <w:sz w:val="20"/>
                <w:szCs w:val="20"/>
                <w:lang w:eastAsia="pl-PL"/>
              </w:rPr>
              <w:lastRenderedPageBreak/>
              <w:t>tłuszczów. Cholesterol i jego biologicznie czynne pochodne. Biosynteza cholesterolu oraz rola diety w regulacji jego stężenia w układzie krążenia. Niezbędne nienasycone kwasy tłuszczowe (NNKT). Gospodarka azotowa. Jon amonowy. Integracja metabolizmu. Znaczenie biochemiczne mikroelementów i suplementów diety.</w:t>
            </w:r>
          </w:p>
        </w:tc>
        <w:tc>
          <w:tcPr>
            <w:tcW w:w="56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Biochemia żywności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Pr>
                <w:rFonts w:asciiTheme="minorHAnsi" w:eastAsia="Times New Roman" w:hAnsiTheme="minorHAnsi" w:cstheme="minorHAnsi"/>
                <w:sz w:val="20"/>
                <w:szCs w:val="20"/>
                <w:lang w:eastAsia="pl-PL"/>
              </w:rPr>
              <w:br/>
              <w:t xml:space="preserve">1.Biochemia - nauka o życiu. Znaczenie biochemii w produkcji żywności pochodzenia zwierzęcego i roślinnego. Komórki </w:t>
            </w:r>
            <w:proofErr w:type="spellStart"/>
            <w:r>
              <w:rPr>
                <w:rFonts w:asciiTheme="minorHAnsi" w:eastAsia="Times New Roman" w:hAnsiTheme="minorHAnsi" w:cstheme="minorHAnsi"/>
                <w:sz w:val="20"/>
                <w:szCs w:val="20"/>
                <w:lang w:eastAsia="pl-PL"/>
              </w:rPr>
              <w:t>prokariotyczne</w:t>
            </w:r>
            <w:proofErr w:type="spellEnd"/>
            <w:r>
              <w:rPr>
                <w:rFonts w:asciiTheme="minorHAnsi" w:eastAsia="Times New Roman" w:hAnsiTheme="minorHAnsi" w:cstheme="minorHAnsi"/>
                <w:sz w:val="20"/>
                <w:szCs w:val="20"/>
                <w:lang w:eastAsia="pl-PL"/>
              </w:rPr>
              <w:t xml:space="preserve"> i eukariotyczne, zależności pomiędzy strukturami komórki i ich funkcjami.</w:t>
            </w:r>
            <w:r>
              <w:rPr>
                <w:rFonts w:asciiTheme="minorHAnsi" w:eastAsia="Times New Roman" w:hAnsiTheme="minorHAnsi" w:cstheme="minorHAnsi"/>
                <w:sz w:val="20"/>
                <w:szCs w:val="20"/>
                <w:lang w:eastAsia="pl-PL"/>
              </w:rPr>
              <w:br/>
              <w:t>2.Charakterystyka i funkcja oraz termodynamika błon biologicznych, rola w organizacji wewnątrzkomórkowych procesów metabolicznych, zależności pomiędzy strukturami komórki i ich funkcjami. Organizacja mitochondriów. Transport błonowy: pompy, kanały i receptory. Białka błonowe. System drugich przekaźników wewnątrzkomórkowych. Komunikacja międzykomórkowa, transdukcja sygnału.</w:t>
            </w:r>
            <w:r>
              <w:rPr>
                <w:rFonts w:asciiTheme="minorHAnsi" w:eastAsia="Times New Roman" w:hAnsiTheme="minorHAnsi" w:cstheme="minorHAnsi"/>
                <w:sz w:val="20"/>
                <w:szCs w:val="20"/>
                <w:lang w:eastAsia="pl-PL"/>
              </w:rPr>
              <w:br/>
              <w:t xml:space="preserve">3. Obieg materii w przyrodzie. Mechanizm wykorzystania energii świetlnej. Wiązanie i asymilacja dwutlenku węgla Chemizm i regulacja fotosyntezy. </w:t>
            </w:r>
            <w:proofErr w:type="spellStart"/>
            <w:r>
              <w:rPr>
                <w:rFonts w:asciiTheme="minorHAnsi" w:eastAsia="Times New Roman" w:hAnsiTheme="minorHAnsi" w:cstheme="minorHAnsi"/>
                <w:sz w:val="20"/>
                <w:szCs w:val="20"/>
                <w:lang w:eastAsia="pl-PL"/>
              </w:rPr>
              <w:t>Fotooddychanie</w:t>
            </w:r>
            <w:proofErr w:type="spellEnd"/>
            <w:r>
              <w:rPr>
                <w:rFonts w:asciiTheme="minorHAnsi" w:eastAsia="Times New Roman" w:hAnsiTheme="minorHAnsi" w:cstheme="minorHAnsi"/>
                <w:sz w:val="20"/>
                <w:szCs w:val="20"/>
                <w:lang w:eastAsia="pl-PL"/>
              </w:rPr>
              <w:t>. Wiązanie i asymilacja azotu atmosferycznego. Cykl azotowy.</w:t>
            </w:r>
            <w:r>
              <w:rPr>
                <w:rFonts w:asciiTheme="minorHAnsi" w:eastAsia="Times New Roman" w:hAnsiTheme="minorHAnsi" w:cstheme="minorHAnsi"/>
                <w:sz w:val="20"/>
                <w:szCs w:val="20"/>
                <w:lang w:eastAsia="pl-PL"/>
              </w:rPr>
              <w:br/>
              <w:t xml:space="preserve">4. Organizacja informacji genetycznej. Mutacje i czynniki mutagenne. Regulacja procesów genetycznych. Elementy inżynierii genetycznej i jej znaczenie w biotechnologii. Epigenetyczne regulacja ekspresji genów. </w:t>
            </w:r>
            <w:proofErr w:type="spellStart"/>
            <w:r>
              <w:rPr>
                <w:rFonts w:asciiTheme="minorHAnsi" w:eastAsia="Times New Roman" w:hAnsiTheme="minorHAnsi" w:cstheme="minorHAnsi"/>
                <w:sz w:val="20"/>
                <w:szCs w:val="20"/>
                <w:lang w:eastAsia="pl-PL"/>
              </w:rPr>
              <w:lastRenderedPageBreak/>
              <w:t>Potranslacyjna</w:t>
            </w:r>
            <w:proofErr w:type="spellEnd"/>
            <w:r>
              <w:rPr>
                <w:rFonts w:asciiTheme="minorHAnsi" w:eastAsia="Times New Roman" w:hAnsiTheme="minorHAnsi" w:cstheme="minorHAnsi"/>
                <w:sz w:val="20"/>
                <w:szCs w:val="20"/>
                <w:lang w:eastAsia="pl-PL"/>
              </w:rPr>
              <w:t xml:space="preserve"> modyfikacja białek.</w:t>
            </w:r>
            <w:r>
              <w:rPr>
                <w:rFonts w:asciiTheme="minorHAnsi" w:eastAsia="Times New Roman" w:hAnsiTheme="minorHAnsi" w:cstheme="minorHAnsi"/>
                <w:sz w:val="20"/>
                <w:szCs w:val="20"/>
                <w:lang w:eastAsia="pl-PL"/>
              </w:rPr>
              <w:br/>
              <w:t>5. Budowa i rola biologiczna lipidów. Biosynteza lipidów i steroli roślinnych. Kwasy tłuszczowe pochodzenia roślinnego – rola w żywieniu.</w:t>
            </w:r>
            <w:r>
              <w:rPr>
                <w:rFonts w:asciiTheme="minorHAnsi" w:eastAsia="Times New Roman" w:hAnsiTheme="minorHAnsi" w:cstheme="minorHAnsi"/>
                <w:sz w:val="20"/>
                <w:szCs w:val="20"/>
                <w:lang w:eastAsia="pl-PL"/>
              </w:rPr>
              <w:br/>
              <w:t>6. Podstawowe przemiany białek, tłuszczów, cukrów w czasie przechowywania i przetwarzania żywności – zjawisko fermentacji. Fermentacje przemysłowe - procesy fermentacyjne węglowodanów, zastosowania przemysłowe enzymów katabolizmu sacharydów. Enzymy proteolityczne. Fermentacje aminokwasowe</w:t>
            </w:r>
            <w:r>
              <w:rPr>
                <w:rFonts w:asciiTheme="minorHAnsi" w:eastAsia="Times New Roman" w:hAnsiTheme="minorHAnsi" w:cstheme="minorHAnsi"/>
                <w:sz w:val="20"/>
                <w:szCs w:val="20"/>
                <w:lang w:eastAsia="pl-PL"/>
              </w:rPr>
              <w:br/>
              <w:t xml:space="preserve">7. Substancje bioaktywne w żywności. Związki o charakterze antyoksydacyjnym w aspekcie ich znaczenie dla metabolizmu komórkowego. Podstawowe szlaki syntezy głównych grup metabolitów wtórnych. Właściwości funkcjonalne białek o szczególnym znaczeniu dla przetwórstwa żywności. Zjawisko </w:t>
            </w:r>
            <w:proofErr w:type="spellStart"/>
            <w:r>
              <w:rPr>
                <w:rFonts w:asciiTheme="minorHAnsi" w:eastAsia="Times New Roman" w:hAnsiTheme="minorHAnsi" w:cstheme="minorHAnsi"/>
                <w:sz w:val="20"/>
                <w:szCs w:val="20"/>
                <w:lang w:eastAsia="pl-PL"/>
              </w:rPr>
              <w:t>hormezy</w:t>
            </w:r>
            <w:proofErr w:type="spellEnd"/>
            <w:r>
              <w:rPr>
                <w:rFonts w:asciiTheme="minorHAnsi" w:eastAsia="Times New Roman" w:hAnsiTheme="minorHAnsi" w:cstheme="minorHAnsi"/>
                <w:sz w:val="20"/>
                <w:szCs w:val="20"/>
                <w:lang w:eastAsia="pl-PL"/>
              </w:rPr>
              <w:t xml:space="preserve">. Substancje </w:t>
            </w:r>
            <w:proofErr w:type="spellStart"/>
            <w:r>
              <w:rPr>
                <w:rFonts w:asciiTheme="minorHAnsi" w:eastAsia="Times New Roman" w:hAnsiTheme="minorHAnsi" w:cstheme="minorHAnsi"/>
                <w:sz w:val="20"/>
                <w:szCs w:val="20"/>
                <w:lang w:eastAsia="pl-PL"/>
              </w:rPr>
              <w:t>antyodżywcze</w:t>
            </w:r>
            <w:proofErr w:type="spellEnd"/>
            <w:r>
              <w:rPr>
                <w:rFonts w:asciiTheme="minorHAnsi" w:eastAsia="Times New Roman" w:hAnsiTheme="minorHAnsi" w:cstheme="minorHAnsi"/>
                <w:sz w:val="20"/>
                <w:szCs w:val="20"/>
                <w:lang w:eastAsia="pl-PL"/>
              </w:rPr>
              <w:t xml:space="preserve"> i szkodliwe występujące w żywności.</w:t>
            </w:r>
            <w:r>
              <w:rPr>
                <w:rFonts w:asciiTheme="minorHAnsi" w:eastAsia="Times New Roman" w:hAnsiTheme="minorHAnsi" w:cstheme="minorHAnsi"/>
                <w:sz w:val="20"/>
                <w:szCs w:val="20"/>
                <w:lang w:eastAsia="pl-PL"/>
              </w:rPr>
              <w:br/>
              <w:t>8. Metabolizm wyspecjalizowanych narządów i tkanek związanych z metabolizmem źródeł energii. Energetyka reakcji biochemicznych. Podstawy uzyskiwania i magazynowania energii w procesach metabolicznych.</w:t>
            </w:r>
            <w:r>
              <w:rPr>
                <w:rFonts w:asciiTheme="minorHAnsi" w:eastAsia="Times New Roman" w:hAnsiTheme="minorHAnsi" w:cstheme="minorHAnsi"/>
                <w:sz w:val="20"/>
                <w:szCs w:val="20"/>
                <w:lang w:eastAsia="pl-PL"/>
              </w:rPr>
              <w:br/>
              <w:t>9. Genetyczne uwarunkowania procesów metabolicznych. Choroby metaboliczne - bloki metaboliczne.</w:t>
            </w:r>
            <w:r>
              <w:rPr>
                <w:rFonts w:asciiTheme="minorHAnsi" w:eastAsia="Times New Roman" w:hAnsiTheme="minorHAnsi" w:cstheme="minorHAnsi"/>
                <w:sz w:val="20"/>
                <w:szCs w:val="20"/>
                <w:lang w:eastAsia="pl-PL"/>
              </w:rPr>
              <w:br/>
              <w:t>10. Udział drobnoustrojów jelitowych w metabolizmie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 xml:space="preserve">1. Zasady bezpieczeństwa i higieny pracy w pracowni biochemicznej. Ćwiczenia wprowadzające do praktyki laboratorium biochemicznego. Zapoznanie z technikami wyodrębniania, rozdzielania i </w:t>
            </w:r>
            <w:r>
              <w:rPr>
                <w:rFonts w:asciiTheme="minorHAnsi" w:eastAsia="Times New Roman" w:hAnsiTheme="minorHAnsi" w:cstheme="minorHAnsi"/>
                <w:sz w:val="20"/>
                <w:szCs w:val="20"/>
                <w:lang w:eastAsia="pl-PL"/>
              </w:rPr>
              <w:lastRenderedPageBreak/>
              <w:t>identyfikacji pierwotnych i wtórnych metabolitów roślinnych. Metody badania metabolizmu komórkowego in vitro i in vivo.</w:t>
            </w:r>
            <w:r>
              <w:rPr>
                <w:rFonts w:asciiTheme="minorHAnsi" w:eastAsia="Times New Roman" w:hAnsiTheme="minorHAnsi" w:cstheme="minorHAnsi"/>
                <w:sz w:val="20"/>
                <w:szCs w:val="20"/>
                <w:lang w:eastAsia="pl-PL"/>
              </w:rPr>
              <w:br/>
              <w:t>2. Cukry. Metody otrzymywania i analizy metabolitów roślinnych. Reakcje cukrów prostych, dwucukrów i wielocukrów. Sacharydy – podstawowe przekształcenia chemiczne i enzymatyczne.</w:t>
            </w:r>
            <w:r>
              <w:rPr>
                <w:rFonts w:asciiTheme="minorHAnsi" w:eastAsia="Times New Roman" w:hAnsiTheme="minorHAnsi" w:cstheme="minorHAnsi"/>
                <w:sz w:val="20"/>
                <w:szCs w:val="20"/>
                <w:lang w:eastAsia="pl-PL"/>
              </w:rPr>
              <w:br/>
              <w:t>3. Tłuszcze. Reakcje tłuszczów prostych i złożonych. Izolacja lecytyny i określenie jej składu chemicznego. Reakcje na cholesterol.</w:t>
            </w:r>
            <w:r>
              <w:rPr>
                <w:rFonts w:asciiTheme="minorHAnsi" w:eastAsia="Times New Roman" w:hAnsiTheme="minorHAnsi" w:cstheme="minorHAnsi"/>
                <w:sz w:val="20"/>
                <w:szCs w:val="20"/>
                <w:lang w:eastAsia="pl-PL"/>
              </w:rPr>
              <w:br/>
              <w:t>Kwasy nukleinowe. Izolowanie kwasu dezoksyrybonukleinowego, reakcje składników kwasów nukleinowych.</w:t>
            </w:r>
            <w:r>
              <w:rPr>
                <w:rFonts w:asciiTheme="minorHAnsi" w:eastAsia="Times New Roman" w:hAnsiTheme="minorHAnsi" w:cstheme="minorHAnsi"/>
                <w:sz w:val="20"/>
                <w:szCs w:val="20"/>
                <w:lang w:eastAsia="pl-PL"/>
              </w:rPr>
              <w:br/>
              <w:t>4. Aminokwasy i białka. Podstawowe właściwości i reakcje aminokwasów. Wykazanie właściwości amfoterycznych białek. Denaturacja białek. Reakcje barwne białek. Reakcje białek z jonami. Oznaczanie białka wybranymi metodami analizy ilościowej.</w:t>
            </w:r>
            <w:r>
              <w:rPr>
                <w:rFonts w:asciiTheme="minorHAnsi" w:eastAsia="Times New Roman" w:hAnsiTheme="minorHAnsi" w:cstheme="minorHAnsi"/>
                <w:sz w:val="20"/>
                <w:szCs w:val="20"/>
                <w:lang w:eastAsia="pl-PL"/>
              </w:rPr>
              <w:br/>
              <w:t>5. Charakterystyka i znaczenie białek żywności.</w:t>
            </w:r>
            <w:r>
              <w:rPr>
                <w:rFonts w:asciiTheme="minorHAnsi" w:eastAsia="Times New Roman" w:hAnsiTheme="minorHAnsi" w:cstheme="minorHAnsi"/>
                <w:sz w:val="20"/>
                <w:szCs w:val="20"/>
                <w:lang w:eastAsia="pl-PL"/>
              </w:rPr>
              <w:br/>
              <w:t>Białka pochodzenia zwierzęcego. Charakterystyka, właściwości fizykochemiczne</w:t>
            </w:r>
            <w:r>
              <w:rPr>
                <w:rFonts w:asciiTheme="minorHAnsi" w:eastAsia="Times New Roman" w:hAnsiTheme="minorHAnsi" w:cstheme="minorHAnsi"/>
                <w:sz w:val="20"/>
                <w:szCs w:val="20"/>
                <w:lang w:eastAsia="pl-PL"/>
              </w:rPr>
              <w:br/>
              <w:t>i wartość odżywcza białek mięsa, białek jaja, białek mleka.</w:t>
            </w:r>
            <w:r>
              <w:rPr>
                <w:rFonts w:asciiTheme="minorHAnsi" w:eastAsia="Times New Roman" w:hAnsiTheme="minorHAnsi" w:cstheme="minorHAnsi"/>
                <w:sz w:val="20"/>
                <w:szCs w:val="20"/>
                <w:lang w:eastAsia="pl-PL"/>
              </w:rPr>
              <w:br/>
              <w:t>a. Izolacja białek mięsa.</w:t>
            </w:r>
            <w:r>
              <w:rPr>
                <w:rFonts w:asciiTheme="minorHAnsi" w:eastAsia="Times New Roman" w:hAnsiTheme="minorHAnsi" w:cstheme="minorHAnsi"/>
                <w:sz w:val="20"/>
                <w:szCs w:val="20"/>
                <w:lang w:eastAsia="pl-PL"/>
              </w:rPr>
              <w:br/>
              <w:t>b. Izolacja i oznaczanie ilościowe wybranych składników mleka. Proces koagulacji kazein mleka.</w:t>
            </w:r>
            <w:r>
              <w:rPr>
                <w:rFonts w:asciiTheme="minorHAnsi" w:eastAsia="Times New Roman" w:hAnsiTheme="minorHAnsi" w:cstheme="minorHAnsi"/>
                <w:sz w:val="20"/>
                <w:szCs w:val="20"/>
                <w:lang w:eastAsia="pl-PL"/>
              </w:rPr>
              <w:br/>
              <w:t>c. Preparatyka białek jaja.</w:t>
            </w:r>
            <w:r>
              <w:rPr>
                <w:rFonts w:asciiTheme="minorHAnsi" w:eastAsia="Times New Roman" w:hAnsiTheme="minorHAnsi" w:cstheme="minorHAnsi"/>
                <w:sz w:val="20"/>
                <w:szCs w:val="20"/>
                <w:lang w:eastAsia="pl-PL"/>
              </w:rPr>
              <w:br/>
              <w:t xml:space="preserve">6. Białka pochodzenia roślinnego. Izolacja frakcji białek roślinnych. Ilościowe oznaczanie wyizolowanych z żywności białek. Substancje </w:t>
            </w:r>
            <w:proofErr w:type="spellStart"/>
            <w:r>
              <w:rPr>
                <w:rFonts w:asciiTheme="minorHAnsi" w:eastAsia="Times New Roman" w:hAnsiTheme="minorHAnsi" w:cstheme="minorHAnsi"/>
                <w:sz w:val="20"/>
                <w:szCs w:val="20"/>
                <w:lang w:eastAsia="pl-PL"/>
              </w:rPr>
              <w:t>antyodżywcze</w:t>
            </w:r>
            <w:proofErr w:type="spellEnd"/>
            <w:r>
              <w:rPr>
                <w:rFonts w:asciiTheme="minorHAnsi" w:eastAsia="Times New Roman" w:hAnsiTheme="minorHAnsi" w:cstheme="minorHAnsi"/>
                <w:sz w:val="20"/>
                <w:szCs w:val="20"/>
                <w:lang w:eastAsia="pl-PL"/>
              </w:rPr>
              <w:t xml:space="preserve"> i szkodliwe (związki białkowe i niebiałkowe).</w:t>
            </w:r>
            <w:r>
              <w:rPr>
                <w:rFonts w:asciiTheme="minorHAnsi" w:eastAsia="Times New Roman" w:hAnsiTheme="minorHAnsi" w:cstheme="minorHAnsi"/>
                <w:sz w:val="20"/>
                <w:szCs w:val="20"/>
                <w:lang w:eastAsia="pl-PL"/>
              </w:rPr>
              <w:br/>
              <w:t xml:space="preserve">7. Izolacja i badanie aktywności wybranych </w:t>
            </w:r>
            <w:r>
              <w:rPr>
                <w:rFonts w:asciiTheme="minorHAnsi" w:eastAsia="Times New Roman" w:hAnsiTheme="minorHAnsi" w:cstheme="minorHAnsi"/>
                <w:sz w:val="20"/>
                <w:szCs w:val="20"/>
                <w:lang w:eastAsia="pl-PL"/>
              </w:rPr>
              <w:lastRenderedPageBreak/>
              <w:t>enzymów. Hydroliza enzymatyczna podstawowych składników żywności.</w:t>
            </w:r>
            <w:r>
              <w:rPr>
                <w:rFonts w:asciiTheme="minorHAnsi" w:eastAsia="Times New Roman" w:hAnsiTheme="minorHAnsi" w:cstheme="minorHAnsi"/>
                <w:sz w:val="20"/>
                <w:szCs w:val="20"/>
                <w:lang w:eastAsia="pl-PL"/>
              </w:rPr>
              <w:br/>
              <w:t xml:space="preserve">8. Badanie aktywności wybranych enzymów. Izolacja </w:t>
            </w:r>
            <w:proofErr w:type="spellStart"/>
            <w:r>
              <w:rPr>
                <w:rFonts w:asciiTheme="minorHAnsi" w:eastAsia="Times New Roman" w:hAnsiTheme="minorHAnsi" w:cstheme="minorHAnsi"/>
                <w:sz w:val="20"/>
                <w:szCs w:val="20"/>
                <w:lang w:eastAsia="pl-PL"/>
              </w:rPr>
              <w:t>sacharazy</w:t>
            </w:r>
            <w:proofErr w:type="spellEnd"/>
            <w:r>
              <w:rPr>
                <w:rFonts w:asciiTheme="minorHAnsi" w:eastAsia="Times New Roman" w:hAnsiTheme="minorHAnsi" w:cstheme="minorHAnsi"/>
                <w:sz w:val="20"/>
                <w:szCs w:val="20"/>
                <w:lang w:eastAsia="pl-PL"/>
              </w:rPr>
              <w:t xml:space="preserve"> z drożdży. Oznaczenie stałej </w:t>
            </w:r>
            <w:proofErr w:type="spellStart"/>
            <w:r>
              <w:rPr>
                <w:rFonts w:asciiTheme="minorHAnsi" w:eastAsia="Times New Roman" w:hAnsiTheme="minorHAnsi" w:cstheme="minorHAnsi"/>
                <w:sz w:val="20"/>
                <w:szCs w:val="20"/>
                <w:lang w:eastAsia="pl-PL"/>
              </w:rPr>
              <w:t>Michaelisa</w:t>
            </w:r>
            <w:proofErr w:type="spellEnd"/>
            <w:r>
              <w:rPr>
                <w:rFonts w:asciiTheme="minorHAnsi" w:eastAsia="Times New Roman" w:hAnsiTheme="minorHAnsi" w:cstheme="minorHAnsi"/>
                <w:sz w:val="20"/>
                <w:szCs w:val="20"/>
                <w:lang w:eastAsia="pl-PL"/>
              </w:rPr>
              <w:t xml:space="preserve">. </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Chemia analityczna i żywności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W03,</w:t>
            </w:r>
          </w:p>
          <w:p w:rsidR="00373AC5" w:rsidRDefault="00373AC5">
            <w:pPr>
              <w:spacing w:after="0" w:line="240" w:lineRule="auto"/>
              <w:jc w:val="center"/>
              <w:rPr>
                <w:rFonts w:asciiTheme="minorHAnsi" w:hAnsiTheme="minorHAnsi" w:cstheme="minorHAnsi"/>
                <w:sz w:val="20"/>
                <w:szCs w:val="20"/>
              </w:rPr>
            </w:pPr>
            <w:r>
              <w:rPr>
                <w:rFonts w:asciiTheme="minorHAnsi" w:eastAsia="Times New Roman" w:hAnsiTheme="minorHAnsi" w:cstheme="minorHAnsi"/>
                <w:sz w:val="20"/>
                <w:szCs w:val="20"/>
                <w:lang w:eastAsia="pl-PL"/>
              </w:rPr>
              <w:t> </w:t>
            </w:r>
            <w:r>
              <w:rPr>
                <w:rFonts w:asciiTheme="minorHAnsi" w:hAnsiTheme="minorHAnsi" w:cstheme="minorHAnsi"/>
                <w:sz w:val="20"/>
                <w:szCs w:val="20"/>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 Metody jakościowe i ilościowe oraz instrumentalne w analityce chemicznej.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2. Analiza chemiczna w praktyce dietetyka.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3. Makro i mikropierwiastki w żywności.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4. Charakterystyka i funkcje biologiczne głównych białek żywności.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5. </w:t>
            </w:r>
            <w:proofErr w:type="spellStart"/>
            <w:r>
              <w:rPr>
                <w:rFonts w:asciiTheme="minorHAnsi" w:hAnsiTheme="minorHAnsi" w:cstheme="minorHAnsi"/>
                <w:sz w:val="20"/>
                <w:szCs w:val="20"/>
              </w:rPr>
              <w:t>Ksenobiotyki</w:t>
            </w:r>
            <w:proofErr w:type="spellEnd"/>
            <w:r>
              <w:rPr>
                <w:rFonts w:asciiTheme="minorHAnsi" w:hAnsiTheme="minorHAnsi" w:cstheme="minorHAnsi"/>
                <w:sz w:val="20"/>
                <w:szCs w:val="20"/>
              </w:rPr>
              <w:t xml:space="preserve"> i zanieczyszczenia żywności. Substancje chemiczne celowo dodawane do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6. Witaminy i </w:t>
            </w:r>
            <w:proofErr w:type="spellStart"/>
            <w:r>
              <w:rPr>
                <w:rFonts w:asciiTheme="minorHAnsi" w:hAnsiTheme="minorHAnsi" w:cstheme="minorHAnsi"/>
                <w:sz w:val="20"/>
                <w:szCs w:val="20"/>
              </w:rPr>
              <w:t>polifenole</w:t>
            </w:r>
            <w:proofErr w:type="spellEnd"/>
            <w:r>
              <w:rPr>
                <w:rFonts w:asciiTheme="minorHAnsi" w:hAnsiTheme="minorHAnsi" w:cstheme="minorHAnsi"/>
                <w:sz w:val="20"/>
                <w:szCs w:val="20"/>
              </w:rPr>
              <w:t xml:space="preserve"> zawarte w żywności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7. Suplementy diety i leki roślinne - różnice i podobieństwa</w:t>
            </w:r>
            <w:r>
              <w:rPr>
                <w:rFonts w:asciiTheme="minorHAnsi" w:eastAsia="Times New Roman" w:hAnsiTheme="minorHAnsi" w:cstheme="minorHAnsi"/>
                <w:sz w:val="20"/>
                <w:szCs w:val="20"/>
                <w:lang w:eastAsia="pl-PL"/>
              </w:rPr>
              <w:t>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 Regulamin zajęć oraz bezpieczeństwa i higieny pracy. Analiza jakościowa wybranych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kationów i anionów biologicznie ważnych. Oznaczanie wybranych kationów w surowicy krwi.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2. Równowagi jonowe w wodnych roztworach elektrolitów. Bufory organizmu człowieka- przygotowanie i pomiar pojemności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buforowej.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3. Analiza ilościowa – alkacymetria i kompleksometria. Analiza chemiczna w praktyce dietetyka.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4. Analiza jakościowa i ilościowa aminokwasów i białek obecnych 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5. Koloidy - przygotowanie i badanie właściwości.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6. Charakterystyka i funkcje biologiczne głównych lipidów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7. Analiza jakościowa i ilościowa wybranych </w:t>
            </w:r>
            <w:proofErr w:type="spellStart"/>
            <w:r>
              <w:rPr>
                <w:rFonts w:asciiTheme="minorHAnsi" w:hAnsiTheme="minorHAnsi" w:cstheme="minorHAnsi"/>
                <w:sz w:val="20"/>
                <w:szCs w:val="20"/>
              </w:rPr>
              <w:lastRenderedPageBreak/>
              <w:t>ksenobiotyków</w:t>
            </w:r>
            <w:proofErr w:type="spellEnd"/>
            <w:r>
              <w:rPr>
                <w:rFonts w:asciiTheme="minorHAnsi" w:hAnsiTheme="minorHAnsi" w:cstheme="minorHAnsi"/>
                <w:sz w:val="20"/>
                <w:szCs w:val="20"/>
              </w:rPr>
              <w:t xml:space="preserve"> i związków endogennych.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8. Charakterystyka i funkcje biologiczne głównych węglowodanów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9. Analiza jakościowa i ilościowa </w:t>
            </w:r>
            <w:proofErr w:type="spellStart"/>
            <w:r>
              <w:rPr>
                <w:rFonts w:asciiTheme="minorHAnsi" w:hAnsiTheme="minorHAnsi" w:cstheme="minorHAnsi"/>
                <w:sz w:val="20"/>
                <w:szCs w:val="20"/>
              </w:rPr>
              <w:t>polifenoli</w:t>
            </w:r>
            <w:proofErr w:type="spellEnd"/>
            <w:r>
              <w:rPr>
                <w:rFonts w:asciiTheme="minorHAnsi" w:hAnsiTheme="minorHAnsi" w:cstheme="minorHAnsi"/>
                <w:sz w:val="20"/>
                <w:szCs w:val="20"/>
              </w:rPr>
              <w:t xml:space="preserve"> obecnych w wyciągach roślinnych.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10. Analiza jakościowa i ilościowa witamin rozpuszczalnych w wodzie i tłuszczach.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11. Substancje </w:t>
            </w:r>
            <w:proofErr w:type="spellStart"/>
            <w:r>
              <w:rPr>
                <w:rFonts w:asciiTheme="minorHAnsi" w:hAnsiTheme="minorHAnsi" w:cstheme="minorHAnsi"/>
                <w:sz w:val="20"/>
                <w:szCs w:val="20"/>
              </w:rPr>
              <w:t>antyodżywcze</w:t>
            </w:r>
            <w:proofErr w:type="spellEnd"/>
            <w:r>
              <w:rPr>
                <w:rFonts w:asciiTheme="minorHAnsi" w:hAnsiTheme="minorHAnsi" w:cstheme="minorHAnsi"/>
                <w:sz w:val="20"/>
                <w:szCs w:val="20"/>
              </w:rPr>
              <w:t xml:space="preserve"> w żywności. Wykrywanie obecności substancji dodatkowych w produktach spożywczych.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12. Wykrywanie obecności i oznaczanie aktywności enzymów w materiale biologicznym.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13. Bezpieczeństwo żywności. Żywność funkcjonalna i </w:t>
            </w:r>
            <w:proofErr w:type="spellStart"/>
            <w:r>
              <w:rPr>
                <w:rFonts w:asciiTheme="minorHAnsi" w:hAnsiTheme="minorHAnsi" w:cstheme="minorHAnsi"/>
                <w:sz w:val="20"/>
                <w:szCs w:val="20"/>
              </w:rPr>
              <w:t>nutraceutyki</w:t>
            </w:r>
            <w:proofErr w:type="spellEnd"/>
            <w:r>
              <w:rPr>
                <w:rFonts w:asciiTheme="minorHAnsi" w:hAnsiTheme="minorHAnsi" w:cstheme="minorHAnsi"/>
                <w:sz w:val="20"/>
                <w:szCs w:val="20"/>
              </w:rPr>
              <w:t>.</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człowieka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W03,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1. Homeostaza – równowaga energetyczna, płyny ustrojowe, gospodarka wodno-elektrolitowa, termoregulacja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2. Wyższe czynności układu nerwowego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3. Fizjologia krwi – podstawy hematopoezy i hemostazy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4. Fizjologia układu hormonalnego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Wykład 5. Mechanizmy kontroli łaknienia i fizjologia układu pokarmowego</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Seminaria: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Seminarium 1. Fizjologia układu nerwowego – komórka nerwowa, pobudliwość i pobudzenie, potencjał spoczynkowy i czynnościowy, synapsy nerwowe, przewodnictwo nerwowe, odruchy, regulacja ruchów i postawy ciała, autonomiczny układ nerwowy</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Seminarium 2. Fizjologia układu hormonalnego – organizacja układu dokrewnego, mechanizmy wydzielania hormonów, działanie na komórkę </w:t>
            </w:r>
            <w:r>
              <w:rPr>
                <w:rFonts w:eastAsia="Times New Roman" w:cs="Calibri"/>
                <w:color w:val="000000"/>
                <w:sz w:val="20"/>
                <w:lang w:eastAsia="pl-PL"/>
              </w:rPr>
              <w:lastRenderedPageBreak/>
              <w:t xml:space="preserve">docelową, transport hormonów we krwi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Seminarium 3. Fizjologia układu mięśniowego – mięśnie poprzecznie prążkowane i gładkie, rodzaje skurczów mięśnia, teoria ślizgowa skurczu</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1. Fizjologia krwi – serologia, układy grupowe krwi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Ćwiczenie 2. Fizjologia krążenia – elektrofizjologia i elektrokardiografia, hemodynamika serca, krążenie obwodowe, regulacja przepływu, metody badania układu krążenia</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3. Fizjologia narządów zmysłów – czucie i percepcja, receptory czuciowe, narządy zmysłów, neurofizjologiczne podstawy zachowania się, czuwanie i sen, rytmy biologiczne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4. Fizjologia układu oddechowego – oddychanie wewnętrzne i zewnętrzne, drogi oddechowe, mechanika oddychania, wymiana gazowa w płucach, transport gazów, nerwowa i chemiczna regulacja oddychania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5. Fizjologia układu moczowego – rola nerek w tworzeniu moczu, gospodarka kwasowo-zasadowa, zagęszczanie moczu, czynność wewnątrzwydzielnicza nerek </w:t>
            </w:r>
          </w:p>
          <w:p w:rsidR="00373AC5" w:rsidRDefault="00373AC5">
            <w:pPr>
              <w:spacing w:after="0" w:line="240" w:lineRule="auto"/>
              <w:rPr>
                <w:rFonts w:asciiTheme="minorHAnsi" w:eastAsia="Times New Roman" w:hAnsiTheme="minorHAnsi" w:cstheme="minorHAnsi"/>
                <w:sz w:val="18"/>
                <w:szCs w:val="20"/>
                <w:lang w:eastAsia="pl-PL"/>
              </w:rPr>
            </w:pPr>
            <w:r>
              <w:rPr>
                <w:rFonts w:eastAsia="Times New Roman" w:cs="Calibri"/>
                <w:color w:val="000000"/>
                <w:sz w:val="20"/>
                <w:lang w:eastAsia="pl-PL"/>
              </w:rPr>
              <w:t>Ćwiczenie 6. Fizjologia układu pokarmowego – motoryka, sekrecja, trawienie, wchłanianie, usuwanie niestrawionych resztek pokarmowych, płyny wydzielane przez przewód pokarmowy (ślina, sok żołądkowy, sok trzustkowy, sok jelitowy, żółć), hormony i enzymy układu pokarmowego.</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lastRenderedPageBreak/>
              <w:t>EGZAMIN,</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ustna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test</w:t>
            </w:r>
          </w:p>
          <w:p w:rsidR="00373AC5" w:rsidRDefault="00373AC5">
            <w:pPr>
              <w:spacing w:after="0" w:line="240" w:lineRule="auto"/>
              <w:jc w:val="center"/>
              <w:rPr>
                <w:rFonts w:asciiTheme="minorHAnsi" w:eastAsia="Times New Roman" w:hAnsiTheme="minorHAnsi" w:cstheme="minorHAnsi"/>
                <w:sz w:val="18"/>
                <w:szCs w:val="20"/>
                <w:lang w:eastAsia="pl-PL"/>
              </w:rPr>
            </w:pPr>
            <w:r>
              <w:rPr>
                <w:rFonts w:eastAsia="Times New Roman" w:cs="Calibri"/>
                <w:color w:val="000000"/>
                <w:sz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Wiedza o żywności i żywieniu</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W16,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Wykłady:</w:t>
            </w:r>
            <w:r>
              <w:rPr>
                <w:rFonts w:asciiTheme="minorHAnsi" w:eastAsia="Times New Roman" w:hAnsiTheme="minorHAnsi" w:cstheme="minorHAnsi"/>
                <w:sz w:val="20"/>
                <w:szCs w:val="20"/>
                <w:lang w:eastAsia="pl-PL"/>
              </w:rPr>
              <w:br/>
              <w:t>Wykład 1. Aspekty cywilizacyjne sposobu żywienia człowieka</w:t>
            </w:r>
            <w:r>
              <w:rPr>
                <w:rFonts w:asciiTheme="minorHAnsi" w:eastAsia="Times New Roman" w:hAnsiTheme="minorHAnsi" w:cstheme="minorHAnsi"/>
                <w:sz w:val="20"/>
                <w:szCs w:val="20"/>
                <w:lang w:eastAsia="pl-PL"/>
              </w:rPr>
              <w:br/>
              <w:t xml:space="preserve">Wykład 2. </w:t>
            </w:r>
            <w:proofErr w:type="spellStart"/>
            <w:r>
              <w:rPr>
                <w:rFonts w:asciiTheme="minorHAnsi" w:eastAsia="Times New Roman" w:hAnsiTheme="minorHAnsi" w:cstheme="minorHAnsi"/>
                <w:sz w:val="20"/>
                <w:szCs w:val="20"/>
                <w:lang w:eastAsia="pl-PL"/>
              </w:rPr>
              <w:t>Energometria</w:t>
            </w:r>
            <w:proofErr w:type="spellEnd"/>
            <w:r>
              <w:rPr>
                <w:rFonts w:asciiTheme="minorHAnsi" w:eastAsia="Times New Roman" w:hAnsiTheme="minorHAnsi" w:cstheme="minorHAnsi"/>
                <w:sz w:val="20"/>
                <w:szCs w:val="20"/>
                <w:lang w:eastAsia="pl-PL"/>
              </w:rPr>
              <w:br/>
              <w:t xml:space="preserve">Wykład 3. Normy żywienia i wyżywienia, zalecenia </w:t>
            </w:r>
            <w:r>
              <w:rPr>
                <w:rFonts w:asciiTheme="minorHAnsi" w:eastAsia="Times New Roman" w:hAnsiTheme="minorHAnsi" w:cstheme="minorHAnsi"/>
                <w:sz w:val="20"/>
                <w:szCs w:val="20"/>
                <w:lang w:eastAsia="pl-PL"/>
              </w:rPr>
              <w:lastRenderedPageBreak/>
              <w:t>żywieniowe</w:t>
            </w:r>
            <w:r>
              <w:rPr>
                <w:rFonts w:asciiTheme="minorHAnsi" w:eastAsia="Times New Roman" w:hAnsiTheme="minorHAnsi" w:cstheme="minorHAnsi"/>
                <w:sz w:val="20"/>
                <w:szCs w:val="20"/>
                <w:lang w:eastAsia="pl-PL"/>
              </w:rPr>
              <w:br/>
              <w:t>Wykład 4. Białka, tłuszcze, węglowodany</w:t>
            </w:r>
            <w:r>
              <w:rPr>
                <w:rFonts w:asciiTheme="minorHAnsi" w:eastAsia="Times New Roman" w:hAnsiTheme="minorHAnsi" w:cstheme="minorHAnsi"/>
                <w:sz w:val="20"/>
                <w:szCs w:val="20"/>
                <w:lang w:eastAsia="pl-PL"/>
              </w:rPr>
              <w:br/>
              <w:t>Wykład 5. Witaminy</w:t>
            </w:r>
            <w:r>
              <w:rPr>
                <w:rFonts w:asciiTheme="minorHAnsi" w:eastAsia="Times New Roman" w:hAnsiTheme="minorHAnsi" w:cstheme="minorHAnsi"/>
                <w:sz w:val="20"/>
                <w:szCs w:val="20"/>
                <w:lang w:eastAsia="pl-PL"/>
              </w:rPr>
              <w:br/>
              <w:t>Wykład 6. Składniki mineralne</w:t>
            </w:r>
            <w:r>
              <w:rPr>
                <w:rFonts w:asciiTheme="minorHAnsi" w:eastAsia="Times New Roman" w:hAnsiTheme="minorHAnsi" w:cstheme="minorHAnsi"/>
                <w:sz w:val="20"/>
                <w:szCs w:val="20"/>
                <w:lang w:eastAsia="pl-PL"/>
              </w:rPr>
              <w:br/>
              <w:t>Wykład 7. Suplementy diety</w:t>
            </w:r>
            <w:r>
              <w:rPr>
                <w:rFonts w:asciiTheme="minorHAnsi" w:eastAsia="Times New Roman" w:hAnsiTheme="minorHAnsi" w:cstheme="minorHAnsi"/>
                <w:sz w:val="20"/>
                <w:szCs w:val="20"/>
                <w:lang w:eastAsia="pl-PL"/>
              </w:rPr>
              <w:br/>
              <w:t>Wykład 8. Podstawy interakcji lek-żywność</w:t>
            </w:r>
            <w:r>
              <w:rPr>
                <w:rFonts w:asciiTheme="minorHAnsi" w:eastAsia="Times New Roman" w:hAnsiTheme="minorHAnsi" w:cstheme="minorHAnsi"/>
                <w:sz w:val="20"/>
                <w:szCs w:val="20"/>
                <w:lang w:eastAsia="pl-PL"/>
              </w:rPr>
              <w:br/>
              <w:t>Wykład 9. Substancje dodatkowe i zanieczyszczenia żywności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r>
              <w:rPr>
                <w:rFonts w:asciiTheme="minorHAnsi" w:eastAsia="Times New Roman" w:hAnsiTheme="minorHAnsi" w:cstheme="minorHAnsi"/>
                <w:sz w:val="20"/>
                <w:szCs w:val="20"/>
                <w:lang w:eastAsia="pl-PL"/>
              </w:rPr>
              <w:br/>
              <w:t>1. Żywność i żywienie w twórczości wielkich artystów.</w:t>
            </w:r>
            <w:r>
              <w:rPr>
                <w:rFonts w:asciiTheme="minorHAnsi" w:eastAsia="Times New Roman" w:hAnsiTheme="minorHAnsi" w:cstheme="minorHAnsi"/>
                <w:sz w:val="20"/>
                <w:szCs w:val="20"/>
                <w:lang w:eastAsia="pl-PL"/>
              </w:rPr>
              <w:br/>
              <w:t xml:space="preserve">2. </w:t>
            </w:r>
            <w:proofErr w:type="spellStart"/>
            <w:r>
              <w:rPr>
                <w:rFonts w:asciiTheme="minorHAnsi" w:eastAsia="Times New Roman" w:hAnsiTheme="minorHAnsi" w:cstheme="minorHAnsi"/>
                <w:sz w:val="20"/>
                <w:szCs w:val="20"/>
                <w:lang w:eastAsia="pl-PL"/>
              </w:rPr>
              <w:t>Probiotyki</w:t>
            </w:r>
            <w:proofErr w:type="spellEnd"/>
            <w:r>
              <w:rPr>
                <w:rFonts w:asciiTheme="minorHAnsi" w:eastAsia="Times New Roman" w:hAnsiTheme="minorHAnsi" w:cstheme="minorHAnsi"/>
                <w:sz w:val="20"/>
                <w:szCs w:val="20"/>
                <w:lang w:eastAsia="pl-PL"/>
              </w:rPr>
              <w:t xml:space="preserve"> i prebiotyki – ich wpływ na zdrowie człowieka.</w:t>
            </w:r>
            <w:r>
              <w:rPr>
                <w:rFonts w:asciiTheme="minorHAnsi" w:eastAsia="Times New Roman" w:hAnsiTheme="minorHAnsi" w:cstheme="minorHAnsi"/>
                <w:sz w:val="20"/>
                <w:szCs w:val="20"/>
                <w:lang w:eastAsia="pl-PL"/>
              </w:rPr>
              <w:br/>
              <w:t>3.Antyoksydanty w diecie (z wyłączeniem witamin) – ich źródła, korzyści i zagrożenia.</w:t>
            </w:r>
            <w:r>
              <w:rPr>
                <w:rFonts w:asciiTheme="minorHAnsi" w:eastAsia="Times New Roman" w:hAnsiTheme="minorHAnsi" w:cstheme="minorHAnsi"/>
                <w:sz w:val="20"/>
                <w:szCs w:val="20"/>
                <w:lang w:eastAsia="pl-PL"/>
              </w:rPr>
              <w:br/>
              <w:t xml:space="preserve">4. </w:t>
            </w:r>
            <w:proofErr w:type="spellStart"/>
            <w:r>
              <w:rPr>
                <w:rFonts w:asciiTheme="minorHAnsi" w:eastAsia="Times New Roman" w:hAnsiTheme="minorHAnsi" w:cstheme="minorHAnsi"/>
                <w:sz w:val="20"/>
                <w:szCs w:val="20"/>
                <w:lang w:eastAsia="pl-PL"/>
              </w:rPr>
              <w:t>Resweratrol</w:t>
            </w:r>
            <w:proofErr w:type="spellEnd"/>
            <w:r>
              <w:rPr>
                <w:rFonts w:asciiTheme="minorHAnsi" w:eastAsia="Times New Roman" w:hAnsiTheme="minorHAnsi" w:cstheme="minorHAnsi"/>
                <w:sz w:val="20"/>
                <w:szCs w:val="20"/>
                <w:lang w:eastAsia="pl-PL"/>
              </w:rPr>
              <w:t xml:space="preserve"> w kontekście paradoksu francuskiego.</w:t>
            </w:r>
            <w:r>
              <w:rPr>
                <w:rFonts w:asciiTheme="minorHAnsi" w:eastAsia="Times New Roman" w:hAnsiTheme="minorHAnsi" w:cstheme="minorHAnsi"/>
                <w:sz w:val="20"/>
                <w:szCs w:val="20"/>
                <w:lang w:eastAsia="pl-PL"/>
              </w:rPr>
              <w:br/>
              <w:t xml:space="preserve">5. Żywność funkcjonalna i </w:t>
            </w:r>
            <w:proofErr w:type="spellStart"/>
            <w:r>
              <w:rPr>
                <w:rFonts w:asciiTheme="minorHAnsi" w:eastAsia="Times New Roman" w:hAnsiTheme="minorHAnsi" w:cstheme="minorHAnsi"/>
                <w:sz w:val="20"/>
                <w:szCs w:val="20"/>
                <w:lang w:eastAsia="pl-PL"/>
              </w:rPr>
              <w:t>nutraceutyki</w:t>
            </w:r>
            <w:proofErr w:type="spellEnd"/>
            <w:r>
              <w:rPr>
                <w:rFonts w:asciiTheme="minorHAnsi" w:eastAsia="Times New Roman" w:hAnsiTheme="minorHAnsi" w:cstheme="minorHAnsi"/>
                <w:sz w:val="20"/>
                <w:szCs w:val="20"/>
                <w:lang w:eastAsia="pl-PL"/>
              </w:rPr>
              <w:t xml:space="preserve"> w zdrowiu i w chorobie.</w:t>
            </w:r>
            <w:r>
              <w:rPr>
                <w:rFonts w:asciiTheme="minorHAnsi" w:eastAsia="Times New Roman" w:hAnsiTheme="minorHAnsi" w:cstheme="minorHAnsi"/>
                <w:sz w:val="20"/>
                <w:szCs w:val="20"/>
                <w:lang w:eastAsia="pl-PL"/>
              </w:rPr>
              <w:br/>
              <w:t>6. Żywność niskoenergetyczna.</w:t>
            </w:r>
            <w:r>
              <w:rPr>
                <w:rFonts w:asciiTheme="minorHAnsi" w:eastAsia="Times New Roman" w:hAnsiTheme="minorHAnsi" w:cstheme="minorHAnsi"/>
                <w:sz w:val="20"/>
                <w:szCs w:val="20"/>
                <w:lang w:eastAsia="pl-PL"/>
              </w:rPr>
              <w:br/>
              <w:t>7. Żywność specjalnego przeznaczenia żywieniowego – żywność bezglutenowa.</w:t>
            </w:r>
            <w:r>
              <w:rPr>
                <w:rFonts w:asciiTheme="minorHAnsi" w:eastAsia="Times New Roman" w:hAnsiTheme="minorHAnsi" w:cstheme="minorHAnsi"/>
                <w:sz w:val="20"/>
                <w:szCs w:val="20"/>
                <w:lang w:eastAsia="pl-PL"/>
              </w:rPr>
              <w:br/>
              <w:t>8. Żywność specjalnego przeznaczenia żywieniowego – żywność niskobiałkowa.</w:t>
            </w:r>
            <w:r>
              <w:rPr>
                <w:rFonts w:asciiTheme="minorHAnsi" w:eastAsia="Times New Roman" w:hAnsiTheme="minorHAnsi" w:cstheme="minorHAnsi"/>
                <w:sz w:val="20"/>
                <w:szCs w:val="20"/>
                <w:lang w:eastAsia="pl-PL"/>
              </w:rPr>
              <w:br/>
              <w:t>9. Żywność specjalnego przeznaczenia żywieniowego – żywność niskocukrowa.</w:t>
            </w:r>
            <w:r>
              <w:rPr>
                <w:rFonts w:asciiTheme="minorHAnsi" w:eastAsia="Times New Roman" w:hAnsiTheme="minorHAnsi" w:cstheme="minorHAnsi"/>
                <w:sz w:val="20"/>
                <w:szCs w:val="20"/>
                <w:lang w:eastAsia="pl-PL"/>
              </w:rPr>
              <w:br/>
              <w:t>10. Żywność fortyfikowana.</w:t>
            </w:r>
            <w:r>
              <w:rPr>
                <w:rFonts w:asciiTheme="minorHAnsi" w:eastAsia="Times New Roman" w:hAnsiTheme="minorHAnsi" w:cstheme="minorHAnsi"/>
                <w:sz w:val="20"/>
                <w:szCs w:val="20"/>
                <w:lang w:eastAsia="pl-PL"/>
              </w:rPr>
              <w:br/>
              <w:t>11. Słodziki naturalne.</w:t>
            </w:r>
            <w:r>
              <w:rPr>
                <w:rFonts w:asciiTheme="minorHAnsi" w:eastAsia="Times New Roman" w:hAnsiTheme="minorHAnsi" w:cstheme="minorHAnsi"/>
                <w:sz w:val="20"/>
                <w:szCs w:val="20"/>
                <w:lang w:eastAsia="pl-PL"/>
              </w:rPr>
              <w:br/>
              <w:t>12. Słodziki syntetyczne.</w:t>
            </w:r>
            <w:r>
              <w:rPr>
                <w:rFonts w:asciiTheme="minorHAnsi" w:eastAsia="Times New Roman" w:hAnsiTheme="minorHAnsi" w:cstheme="minorHAnsi"/>
                <w:sz w:val="20"/>
                <w:szCs w:val="20"/>
                <w:lang w:eastAsia="pl-PL"/>
              </w:rPr>
              <w:br/>
              <w:t>13. Żywność konwencjonalna, wygodna a żywność ekologiczna.</w:t>
            </w:r>
            <w:r>
              <w:rPr>
                <w:rFonts w:asciiTheme="minorHAnsi" w:eastAsia="Times New Roman" w:hAnsiTheme="minorHAnsi" w:cstheme="minorHAnsi"/>
                <w:sz w:val="20"/>
                <w:szCs w:val="20"/>
                <w:lang w:eastAsia="pl-PL"/>
              </w:rPr>
              <w:br/>
              <w:t>14. Zmiany sposobu żywienia na przestrzeni dziejów.</w:t>
            </w:r>
            <w:r>
              <w:rPr>
                <w:rFonts w:asciiTheme="minorHAnsi" w:eastAsia="Times New Roman" w:hAnsiTheme="minorHAnsi" w:cstheme="minorHAnsi"/>
                <w:sz w:val="20"/>
                <w:szCs w:val="20"/>
                <w:lang w:eastAsia="pl-PL"/>
              </w:rPr>
              <w:br/>
              <w:t>15. Margaryna czy masło?</w:t>
            </w:r>
            <w:r>
              <w:rPr>
                <w:rFonts w:asciiTheme="minorHAnsi" w:eastAsia="Times New Roman" w:hAnsiTheme="minorHAnsi" w:cstheme="minorHAnsi"/>
                <w:sz w:val="20"/>
                <w:szCs w:val="20"/>
                <w:lang w:eastAsia="pl-PL"/>
              </w:rPr>
              <w:br/>
              <w:t>16. Znaczenie wody w organizmie. Wody mineralne i źródlane.</w:t>
            </w:r>
            <w:r>
              <w:rPr>
                <w:rFonts w:asciiTheme="minorHAnsi" w:eastAsia="Times New Roman" w:hAnsiTheme="minorHAnsi" w:cstheme="minorHAnsi"/>
                <w:sz w:val="20"/>
                <w:szCs w:val="20"/>
                <w:lang w:eastAsia="pl-PL"/>
              </w:rPr>
              <w:br/>
              <w:t>17. „</w:t>
            </w:r>
            <w:proofErr w:type="spellStart"/>
            <w:r>
              <w:rPr>
                <w:rFonts w:asciiTheme="minorHAnsi" w:eastAsia="Times New Roman" w:hAnsiTheme="minorHAnsi" w:cstheme="minorHAnsi"/>
                <w:sz w:val="20"/>
                <w:szCs w:val="20"/>
                <w:lang w:eastAsia="pl-PL"/>
              </w:rPr>
              <w:t>Superfoods</w:t>
            </w:r>
            <w:proofErr w:type="spellEnd"/>
            <w:r>
              <w:rPr>
                <w:rFonts w:asciiTheme="minorHAnsi" w:eastAsia="Times New Roman" w:hAnsiTheme="minorHAnsi" w:cstheme="minorHAnsi"/>
                <w:sz w:val="20"/>
                <w:szCs w:val="20"/>
                <w:lang w:eastAsia="pl-PL"/>
              </w:rPr>
              <w:t>” czyli leki prosto z warzywniaka.</w:t>
            </w:r>
            <w:r>
              <w:rPr>
                <w:rFonts w:asciiTheme="minorHAnsi" w:eastAsia="Times New Roman" w:hAnsiTheme="minorHAnsi" w:cstheme="minorHAnsi"/>
                <w:sz w:val="20"/>
                <w:szCs w:val="20"/>
                <w:lang w:eastAsia="pl-PL"/>
              </w:rPr>
              <w:br/>
              <w:t>18. Czynniki kulturowe i społeczne sposobu żywienia.</w:t>
            </w:r>
            <w:r>
              <w:rPr>
                <w:rFonts w:asciiTheme="minorHAnsi" w:eastAsia="Times New Roman" w:hAnsiTheme="minorHAnsi" w:cstheme="minorHAnsi"/>
                <w:sz w:val="20"/>
                <w:szCs w:val="20"/>
                <w:lang w:eastAsia="pl-PL"/>
              </w:rPr>
              <w:br/>
              <w:t>19. Czynniki psychologiczne sposobu żywienia.</w:t>
            </w:r>
            <w:r>
              <w:rPr>
                <w:rFonts w:asciiTheme="minorHAnsi" w:eastAsia="Times New Roman" w:hAnsiTheme="minorHAnsi" w:cstheme="minorHAnsi"/>
                <w:sz w:val="20"/>
                <w:szCs w:val="20"/>
                <w:lang w:eastAsia="pl-PL"/>
              </w:rPr>
              <w:br/>
              <w:t xml:space="preserve">20. </w:t>
            </w:r>
            <w:proofErr w:type="spellStart"/>
            <w:r>
              <w:rPr>
                <w:rFonts w:asciiTheme="minorHAnsi" w:eastAsia="Times New Roman" w:hAnsiTheme="minorHAnsi" w:cstheme="minorHAnsi"/>
                <w:sz w:val="20"/>
                <w:szCs w:val="20"/>
                <w:lang w:eastAsia="pl-PL"/>
              </w:rPr>
              <w:t>Anorexia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nervosa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 xml:space="preserve">21. Bulimia </w:t>
            </w:r>
            <w:proofErr w:type="spellStart"/>
            <w:r>
              <w:rPr>
                <w:rFonts w:asciiTheme="minorHAnsi" w:eastAsia="Times New Roman" w:hAnsiTheme="minorHAnsi" w:cstheme="minorHAnsi"/>
                <w:sz w:val="20"/>
                <w:szCs w:val="20"/>
                <w:lang w:eastAsia="pl-PL"/>
              </w:rPr>
              <w:t>nervosa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22. Niespecyficzne zaburzenia odżywiania.</w:t>
            </w:r>
            <w:r>
              <w:rPr>
                <w:rFonts w:asciiTheme="minorHAnsi" w:eastAsia="Times New Roman" w:hAnsiTheme="minorHAnsi" w:cstheme="minorHAnsi"/>
                <w:sz w:val="20"/>
                <w:szCs w:val="20"/>
                <w:lang w:eastAsia="pl-PL"/>
              </w:rPr>
              <w:br/>
              <w:t xml:space="preserve">23. Cechy osobowości a </w:t>
            </w:r>
            <w:r>
              <w:rPr>
                <w:rFonts w:asciiTheme="minorHAnsi" w:eastAsia="Times New Roman" w:hAnsiTheme="minorHAnsi" w:cstheme="minorHAnsi"/>
                <w:sz w:val="20"/>
                <w:szCs w:val="20"/>
                <w:lang w:eastAsia="pl-PL"/>
              </w:rPr>
              <w:lastRenderedPageBreak/>
              <w:t>sposób żywienia.</w:t>
            </w:r>
            <w:r>
              <w:rPr>
                <w:rFonts w:asciiTheme="minorHAnsi" w:eastAsia="Times New Roman" w:hAnsiTheme="minorHAnsi" w:cstheme="minorHAnsi"/>
                <w:sz w:val="20"/>
                <w:szCs w:val="20"/>
                <w:lang w:eastAsia="pl-PL"/>
              </w:rPr>
              <w:br/>
              <w:t>24. Ortoreksja.</w:t>
            </w:r>
            <w:r>
              <w:rPr>
                <w:rFonts w:asciiTheme="minorHAnsi" w:eastAsia="Times New Roman" w:hAnsiTheme="minorHAnsi" w:cstheme="minorHAnsi"/>
                <w:sz w:val="20"/>
                <w:szCs w:val="20"/>
                <w:lang w:eastAsia="pl-PL"/>
              </w:rPr>
              <w:br/>
              <w:t>25. Wartość odżywcza warzyw i owoców w zależności od koloru (czerwone, pomarańczowe, fioletowe).</w:t>
            </w:r>
            <w:r>
              <w:rPr>
                <w:rFonts w:asciiTheme="minorHAnsi" w:eastAsia="Times New Roman" w:hAnsiTheme="minorHAnsi" w:cstheme="minorHAnsi"/>
                <w:sz w:val="20"/>
                <w:szCs w:val="20"/>
                <w:lang w:eastAsia="pl-PL"/>
              </w:rPr>
              <w:br/>
              <w:t>26. Wartość odżywcza warzyw i owoców w zależności od koloru (białe, żółte, zielone).</w:t>
            </w:r>
            <w:r>
              <w:rPr>
                <w:rFonts w:asciiTheme="minorHAnsi" w:eastAsia="Times New Roman" w:hAnsiTheme="minorHAnsi" w:cstheme="minorHAnsi"/>
                <w:sz w:val="20"/>
                <w:szCs w:val="20"/>
                <w:lang w:eastAsia="pl-PL"/>
              </w:rPr>
              <w:br/>
              <w:t>27. Przyprawy przyspieszające przemianę materii.</w:t>
            </w:r>
            <w:r>
              <w:rPr>
                <w:rFonts w:asciiTheme="minorHAnsi" w:eastAsia="Times New Roman" w:hAnsiTheme="minorHAnsi" w:cstheme="minorHAnsi"/>
                <w:sz w:val="20"/>
                <w:szCs w:val="20"/>
                <w:lang w:eastAsia="pl-PL"/>
              </w:rPr>
              <w:br/>
              <w:t>28. Kawa i herbata – ich wpływ na zdrowie.</w:t>
            </w:r>
            <w:r>
              <w:rPr>
                <w:rFonts w:asciiTheme="minorHAnsi" w:eastAsia="Times New Roman" w:hAnsiTheme="minorHAnsi" w:cstheme="minorHAnsi"/>
                <w:sz w:val="20"/>
                <w:szCs w:val="20"/>
                <w:lang w:eastAsia="pl-PL"/>
              </w:rPr>
              <w:br/>
              <w:t>29. Napoje fermentowane – ich wpływ na zdrowie.</w:t>
            </w:r>
            <w:r>
              <w:rPr>
                <w:rFonts w:asciiTheme="minorHAnsi" w:eastAsia="Times New Roman" w:hAnsiTheme="minorHAnsi" w:cstheme="minorHAnsi"/>
                <w:sz w:val="20"/>
                <w:szCs w:val="20"/>
                <w:lang w:eastAsia="pl-PL"/>
              </w:rPr>
              <w:br/>
              <w:t>30. Morwa biała – liście i owoce jako produkt dla diabetyków</w:t>
            </w:r>
            <w:r>
              <w:rPr>
                <w:rFonts w:asciiTheme="minorHAnsi" w:eastAsia="Times New Roman" w:hAnsiTheme="minorHAnsi" w:cstheme="minorHAnsi"/>
                <w:sz w:val="20"/>
                <w:szCs w:val="20"/>
                <w:lang w:eastAsia="pl-PL"/>
              </w:rPr>
              <w:br/>
              <w:t xml:space="preserve">31. Czystek, </w:t>
            </w:r>
            <w:proofErr w:type="spellStart"/>
            <w:r>
              <w:rPr>
                <w:rFonts w:asciiTheme="minorHAnsi" w:eastAsia="Times New Roman" w:hAnsiTheme="minorHAnsi" w:cstheme="minorHAnsi"/>
                <w:sz w:val="20"/>
                <w:szCs w:val="20"/>
                <w:lang w:eastAsia="pl-PL"/>
              </w:rPr>
              <w:t>Lapacho</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Yerba</w:t>
            </w:r>
            <w:proofErr w:type="spellEnd"/>
            <w:r>
              <w:rPr>
                <w:rFonts w:asciiTheme="minorHAnsi" w:eastAsia="Times New Roman" w:hAnsiTheme="minorHAnsi" w:cstheme="minorHAnsi"/>
                <w:sz w:val="20"/>
                <w:szCs w:val="20"/>
                <w:lang w:eastAsia="pl-PL"/>
              </w:rPr>
              <w:t xml:space="preserve"> mate, </w:t>
            </w:r>
            <w:proofErr w:type="spellStart"/>
            <w:r>
              <w:rPr>
                <w:rFonts w:asciiTheme="minorHAnsi" w:eastAsia="Times New Roman" w:hAnsiTheme="minorHAnsi" w:cstheme="minorHAnsi"/>
                <w:sz w:val="20"/>
                <w:szCs w:val="20"/>
                <w:lang w:eastAsia="pl-PL"/>
              </w:rPr>
              <w:t>Rooibos</w:t>
            </w:r>
            <w:proofErr w:type="spellEnd"/>
            <w:r>
              <w:rPr>
                <w:rFonts w:asciiTheme="minorHAnsi" w:eastAsia="Times New Roman" w:hAnsiTheme="minorHAnsi" w:cstheme="minorHAnsi"/>
                <w:sz w:val="20"/>
                <w:szCs w:val="20"/>
                <w:lang w:eastAsia="pl-PL"/>
              </w:rPr>
              <w:t xml:space="preserve"> – sekret ich zdrowotnych właściwości.</w:t>
            </w:r>
            <w:r>
              <w:rPr>
                <w:rFonts w:asciiTheme="minorHAnsi" w:eastAsia="Times New Roman" w:hAnsiTheme="minorHAnsi" w:cstheme="minorHAnsi"/>
                <w:sz w:val="20"/>
                <w:szCs w:val="20"/>
                <w:lang w:eastAsia="pl-PL"/>
              </w:rPr>
              <w:br/>
              <w:t xml:space="preserve">32. Produkty śniadaniowe (płatki, </w:t>
            </w:r>
            <w:proofErr w:type="spellStart"/>
            <w:r>
              <w:rPr>
                <w:rFonts w:asciiTheme="minorHAnsi" w:eastAsia="Times New Roman" w:hAnsiTheme="minorHAnsi" w:cstheme="minorHAnsi"/>
                <w:sz w:val="20"/>
                <w:szCs w:val="20"/>
                <w:lang w:eastAsia="pl-PL"/>
              </w:rPr>
              <w:t>musli</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crunchy</w:t>
            </w:r>
            <w:proofErr w:type="spellEnd"/>
            <w:r>
              <w:rPr>
                <w:rFonts w:asciiTheme="minorHAnsi" w:eastAsia="Times New Roman" w:hAnsiTheme="minorHAnsi" w:cstheme="minorHAnsi"/>
                <w:sz w:val="20"/>
                <w:szCs w:val="20"/>
                <w:lang w:eastAsia="pl-PL"/>
              </w:rPr>
              <w:t>) – charakterystyka, wartość odżywcza, wpływ na zdrowie.</w:t>
            </w:r>
            <w:r>
              <w:rPr>
                <w:rFonts w:asciiTheme="minorHAnsi" w:eastAsia="Times New Roman" w:hAnsiTheme="minorHAnsi" w:cstheme="minorHAnsi"/>
                <w:sz w:val="20"/>
                <w:szCs w:val="20"/>
                <w:lang w:eastAsia="pl-PL"/>
              </w:rPr>
              <w:br/>
              <w:t>33. Odżywki dla sportowców – charakterystyka, skład, wady i zalety.</w:t>
            </w:r>
            <w:r>
              <w:rPr>
                <w:rFonts w:asciiTheme="minorHAnsi" w:eastAsia="Times New Roman" w:hAnsiTheme="minorHAnsi" w:cstheme="minorHAnsi"/>
                <w:sz w:val="20"/>
                <w:szCs w:val="20"/>
                <w:lang w:eastAsia="pl-PL"/>
              </w:rPr>
              <w:br/>
              <w:t>34. Napoje izotoniczne –charakterystyka, wartość odżywcza.</w:t>
            </w:r>
            <w:r>
              <w:rPr>
                <w:rFonts w:asciiTheme="minorHAnsi" w:eastAsia="Times New Roman" w:hAnsiTheme="minorHAnsi" w:cstheme="minorHAnsi"/>
                <w:sz w:val="20"/>
                <w:szCs w:val="20"/>
                <w:lang w:eastAsia="pl-PL"/>
              </w:rPr>
              <w:br/>
              <w:t xml:space="preserve">35. Olej </w:t>
            </w:r>
            <w:proofErr w:type="spellStart"/>
            <w:r>
              <w:rPr>
                <w:rFonts w:asciiTheme="minorHAnsi" w:eastAsia="Times New Roman" w:hAnsiTheme="minorHAnsi" w:cstheme="minorHAnsi"/>
                <w:sz w:val="20"/>
                <w:szCs w:val="20"/>
                <w:lang w:eastAsia="pl-PL"/>
              </w:rPr>
              <w:t>arganowy</w:t>
            </w:r>
            <w:proofErr w:type="spellEnd"/>
            <w:r>
              <w:rPr>
                <w:rFonts w:asciiTheme="minorHAnsi" w:eastAsia="Times New Roman" w:hAnsiTheme="minorHAnsi" w:cstheme="minorHAnsi"/>
                <w:sz w:val="20"/>
                <w:szCs w:val="20"/>
                <w:lang w:eastAsia="pl-PL"/>
              </w:rPr>
              <w:t>, lniany oraz z szarłatu – źródła, wpływ na organizm.</w:t>
            </w:r>
            <w:r>
              <w:rPr>
                <w:rFonts w:asciiTheme="minorHAnsi" w:eastAsia="Times New Roman" w:hAnsiTheme="minorHAnsi" w:cstheme="minorHAnsi"/>
                <w:sz w:val="20"/>
                <w:szCs w:val="20"/>
                <w:lang w:eastAsia="pl-PL"/>
              </w:rPr>
              <w:br/>
              <w:t>36. Nasiona jako cenne źródło składników odżywczych.</w:t>
            </w:r>
            <w:r>
              <w:rPr>
                <w:rFonts w:asciiTheme="minorHAnsi" w:eastAsia="Times New Roman" w:hAnsiTheme="minorHAnsi" w:cstheme="minorHAnsi"/>
                <w:sz w:val="20"/>
                <w:szCs w:val="20"/>
                <w:lang w:eastAsia="pl-PL"/>
              </w:rPr>
              <w:br/>
              <w:t>37. Miód naturalny, propolis i inne produkty pszczelarskie.</w:t>
            </w:r>
            <w:r>
              <w:rPr>
                <w:rFonts w:asciiTheme="minorHAnsi" w:eastAsia="Times New Roman" w:hAnsiTheme="minorHAnsi" w:cstheme="minorHAnsi"/>
                <w:sz w:val="20"/>
                <w:szCs w:val="20"/>
                <w:lang w:eastAsia="pl-PL"/>
              </w:rPr>
              <w:br/>
              <w:t xml:space="preserve">38. Sterole i </w:t>
            </w:r>
            <w:proofErr w:type="spellStart"/>
            <w:r>
              <w:rPr>
                <w:rFonts w:asciiTheme="minorHAnsi" w:eastAsia="Times New Roman" w:hAnsiTheme="minorHAnsi" w:cstheme="minorHAnsi"/>
                <w:sz w:val="20"/>
                <w:szCs w:val="20"/>
                <w:lang w:eastAsia="pl-PL"/>
              </w:rPr>
              <w:t>stanole</w:t>
            </w:r>
            <w:proofErr w:type="spellEnd"/>
            <w:r>
              <w:rPr>
                <w:rFonts w:asciiTheme="minorHAnsi" w:eastAsia="Times New Roman" w:hAnsiTheme="minorHAnsi" w:cstheme="minorHAnsi"/>
                <w:sz w:val="20"/>
                <w:szCs w:val="20"/>
                <w:lang w:eastAsia="pl-PL"/>
              </w:rPr>
              <w:t xml:space="preserve"> roślinne.</w:t>
            </w:r>
            <w:r>
              <w:rPr>
                <w:rFonts w:asciiTheme="minorHAnsi" w:eastAsia="Times New Roman" w:hAnsiTheme="minorHAnsi" w:cstheme="minorHAnsi"/>
                <w:sz w:val="20"/>
                <w:szCs w:val="20"/>
                <w:lang w:eastAsia="pl-PL"/>
              </w:rPr>
              <w:br/>
              <w:t xml:space="preserve">39. Żywność a wydolność psychofizyczna człowieka (miłorząb </w:t>
            </w:r>
            <w:proofErr w:type="spellStart"/>
            <w:r>
              <w:rPr>
                <w:rFonts w:asciiTheme="minorHAnsi" w:eastAsia="Times New Roman" w:hAnsiTheme="minorHAnsi" w:cstheme="minorHAnsi"/>
                <w:sz w:val="20"/>
                <w:szCs w:val="20"/>
                <w:lang w:eastAsia="pl-PL"/>
              </w:rPr>
              <w:t>japooski</w:t>
            </w:r>
            <w:proofErr w:type="spellEnd"/>
            <w:r>
              <w:rPr>
                <w:rFonts w:asciiTheme="minorHAnsi" w:eastAsia="Times New Roman" w:hAnsiTheme="minorHAnsi" w:cstheme="minorHAnsi"/>
                <w:sz w:val="20"/>
                <w:szCs w:val="20"/>
                <w:lang w:eastAsia="pl-PL"/>
              </w:rPr>
              <w:t>, żeń-</w:t>
            </w:r>
            <w:proofErr w:type="spellStart"/>
            <w:r>
              <w:rPr>
                <w:rFonts w:asciiTheme="minorHAnsi" w:eastAsia="Times New Roman" w:hAnsiTheme="minorHAnsi" w:cstheme="minorHAnsi"/>
                <w:sz w:val="20"/>
                <w:szCs w:val="20"/>
                <w:lang w:eastAsia="pl-PL"/>
              </w:rPr>
              <w:t>szeń</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echinacea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40. Szpinak – fakty i mity.</w:t>
            </w:r>
            <w:r>
              <w:rPr>
                <w:rFonts w:asciiTheme="minorHAnsi" w:eastAsia="Times New Roman" w:hAnsiTheme="minorHAnsi" w:cstheme="minorHAnsi"/>
                <w:sz w:val="20"/>
                <w:szCs w:val="20"/>
                <w:lang w:eastAsia="pl-PL"/>
              </w:rPr>
              <w:br/>
              <w:t xml:space="preserve">41. </w:t>
            </w:r>
            <w:proofErr w:type="spellStart"/>
            <w:r>
              <w:rPr>
                <w:rFonts w:asciiTheme="minorHAnsi" w:eastAsia="Times New Roman" w:hAnsiTheme="minorHAnsi" w:cstheme="minorHAnsi"/>
                <w:sz w:val="20"/>
                <w:szCs w:val="20"/>
                <w:lang w:eastAsia="pl-PL"/>
              </w:rPr>
              <w:t>Amarantus</w:t>
            </w:r>
            <w:proofErr w:type="spellEnd"/>
            <w:r>
              <w:rPr>
                <w:rFonts w:asciiTheme="minorHAnsi" w:eastAsia="Times New Roman" w:hAnsiTheme="minorHAnsi" w:cstheme="minorHAnsi"/>
                <w:sz w:val="20"/>
                <w:szCs w:val="20"/>
                <w:lang w:eastAsia="pl-PL"/>
              </w:rPr>
              <w:t>, komosa ryżowa, babka jajowata – wartość odżywcza, charakterystyka żywieniowa i zastosowanie.</w:t>
            </w:r>
            <w:r>
              <w:rPr>
                <w:rFonts w:asciiTheme="minorHAnsi" w:eastAsia="Times New Roman" w:hAnsiTheme="minorHAnsi" w:cstheme="minorHAnsi"/>
                <w:sz w:val="20"/>
                <w:szCs w:val="20"/>
                <w:lang w:eastAsia="pl-PL"/>
              </w:rPr>
              <w:br/>
              <w:t>42.Chroniona Nazwa Pochodzenia, Chronione Oznaczenie Geograficzne, Gwarantowana Tradycyjna Specjalność – charakterystyka, przykłady.</w:t>
            </w:r>
            <w:r>
              <w:rPr>
                <w:rFonts w:asciiTheme="minorHAnsi" w:eastAsia="Times New Roman" w:hAnsiTheme="minorHAnsi" w:cstheme="minorHAnsi"/>
                <w:sz w:val="20"/>
                <w:szCs w:val="20"/>
                <w:lang w:eastAsia="pl-PL"/>
              </w:rPr>
              <w:br/>
              <w:t>43. Napoje energetyczne a zdrowie.</w:t>
            </w:r>
            <w:r>
              <w:rPr>
                <w:rFonts w:asciiTheme="minorHAnsi" w:eastAsia="Times New Roman" w:hAnsiTheme="minorHAnsi" w:cstheme="minorHAnsi"/>
                <w:sz w:val="20"/>
                <w:szCs w:val="20"/>
                <w:lang w:eastAsia="pl-PL"/>
              </w:rPr>
              <w:br/>
            </w:r>
            <w:r>
              <w:rPr>
                <w:rFonts w:asciiTheme="minorHAnsi" w:eastAsia="Times New Roman" w:hAnsiTheme="minorHAnsi" w:cstheme="minorHAnsi"/>
                <w:sz w:val="20"/>
                <w:szCs w:val="20"/>
                <w:lang w:eastAsia="pl-PL"/>
              </w:rPr>
              <w:lastRenderedPageBreak/>
              <w:t>44. Suplementy wspomagające odchudzanie.</w:t>
            </w:r>
            <w:r>
              <w:rPr>
                <w:rFonts w:asciiTheme="minorHAnsi" w:eastAsia="Times New Roman" w:hAnsiTheme="minorHAnsi" w:cstheme="minorHAnsi"/>
                <w:sz w:val="20"/>
                <w:szCs w:val="20"/>
                <w:lang w:eastAsia="pl-PL"/>
              </w:rPr>
              <w:br/>
              <w:t>45. Preparaty ziołowe wspomagające odchudzanie.</w:t>
            </w:r>
            <w:r>
              <w:rPr>
                <w:rFonts w:asciiTheme="minorHAnsi" w:eastAsia="Times New Roman" w:hAnsiTheme="minorHAnsi" w:cstheme="minorHAnsi"/>
                <w:sz w:val="20"/>
                <w:szCs w:val="20"/>
                <w:lang w:eastAsia="pl-PL"/>
              </w:rPr>
              <w:br/>
              <w:t>46. Ryby oraz oleje rybne a zdrowie.</w:t>
            </w:r>
            <w:r>
              <w:rPr>
                <w:rFonts w:asciiTheme="minorHAnsi" w:eastAsia="Times New Roman" w:hAnsiTheme="minorHAnsi" w:cstheme="minorHAnsi"/>
                <w:sz w:val="20"/>
                <w:szCs w:val="20"/>
                <w:lang w:eastAsia="pl-PL"/>
              </w:rPr>
              <w:br/>
              <w:t xml:space="preserve">47. Zmysł smaku (słony, słodki, kwaśny, gorzki, </w:t>
            </w:r>
            <w:proofErr w:type="spellStart"/>
            <w:r>
              <w:rPr>
                <w:rFonts w:asciiTheme="minorHAnsi" w:eastAsia="Times New Roman" w:hAnsiTheme="minorHAnsi" w:cstheme="minorHAnsi"/>
                <w:sz w:val="20"/>
                <w:szCs w:val="20"/>
                <w:lang w:eastAsia="pl-PL"/>
              </w:rPr>
              <w:t>umami</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48. Jaja – wartość odżywcza, fakty i mity.</w:t>
            </w:r>
            <w:r>
              <w:rPr>
                <w:rFonts w:asciiTheme="minorHAnsi" w:eastAsia="Times New Roman" w:hAnsiTheme="minorHAnsi" w:cstheme="minorHAnsi"/>
                <w:sz w:val="20"/>
                <w:szCs w:val="20"/>
                <w:lang w:eastAsia="pl-PL"/>
              </w:rPr>
              <w:br/>
              <w:t>49. Tabele składu produktów spożywczych jako źródło informacji o wartości odżywczej produktów spożywczych.</w:t>
            </w:r>
            <w:r>
              <w:rPr>
                <w:rFonts w:asciiTheme="minorHAnsi" w:eastAsia="Times New Roman" w:hAnsiTheme="minorHAnsi" w:cstheme="minorHAnsi"/>
                <w:sz w:val="20"/>
                <w:szCs w:val="20"/>
                <w:lang w:eastAsia="pl-PL"/>
              </w:rPr>
              <w:br/>
              <w:t>50. Choroby odzwierzęce pasożytnicze – produkty spożywcze jako źródło zakażenia.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1. Sprawy organizacyjne, zapoznanie z regulaminem wprowadzenie do ćwiczeń, nauka obsługi programu komputerowego „Dietetyk”</w:t>
            </w:r>
            <w:r>
              <w:rPr>
                <w:rFonts w:asciiTheme="minorHAnsi" w:eastAsia="Times New Roman" w:hAnsiTheme="minorHAnsi" w:cstheme="minorHAnsi"/>
                <w:sz w:val="20"/>
                <w:szCs w:val="20"/>
                <w:lang w:eastAsia="pl-PL"/>
              </w:rPr>
              <w:br/>
              <w:t>2. Podstawy planowania jadłospisów w diecie podstawowej.</w:t>
            </w:r>
            <w:r>
              <w:rPr>
                <w:rFonts w:asciiTheme="minorHAnsi" w:eastAsia="Times New Roman" w:hAnsiTheme="minorHAnsi" w:cstheme="minorHAnsi"/>
                <w:sz w:val="20"/>
                <w:szCs w:val="20"/>
                <w:lang w:eastAsia="pl-PL"/>
              </w:rPr>
              <w:br/>
              <w:t>3. Podstawy planowania jadłospisów w diecie lekkostrawnej.</w:t>
            </w:r>
            <w:r>
              <w:rPr>
                <w:rFonts w:asciiTheme="minorHAnsi" w:eastAsia="Times New Roman" w:hAnsiTheme="minorHAnsi" w:cstheme="minorHAnsi"/>
                <w:sz w:val="20"/>
                <w:szCs w:val="20"/>
                <w:lang w:eastAsia="pl-PL"/>
              </w:rPr>
              <w:br/>
              <w:t>4. Podstawy planowania jadłospisów w diecie redukującej masę ciała.</w:t>
            </w:r>
            <w:r>
              <w:rPr>
                <w:rFonts w:asciiTheme="minorHAnsi" w:eastAsia="Times New Roman" w:hAnsiTheme="minorHAnsi" w:cstheme="minorHAnsi"/>
                <w:sz w:val="20"/>
                <w:szCs w:val="20"/>
                <w:lang w:eastAsia="pl-PL"/>
              </w:rPr>
              <w:br/>
              <w:t>5. Podstawy planowania jadłospisów w cukrzycy.</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Ekologia człowieka/ B. Zdrowie środowiskowe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Wprowadzenie do zagadnień ochrony środowiska.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Zanieczyszczenia gleb, wód i powietrza atmosferycznego oraz  przekształcenia powierzchni Ziemi. Przyczyny, skutki środowiskowe, konsekwencje zdrowotne.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Ochrona przyrody w Polsce i na świecie.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Wpływ zanieczyszczeń chemicznych na organizmy żywe.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Stan i jakość wód powierzchniowych i pitnych oraz powietrza atmosferycznego.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 Modele badawcze stosowane w ocenie stanu środowiska i jego bezpieczeństwa dla zdrowia.</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Psychologia ogólna/ B. Psychologia w dietetyce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Wprowadzenie do psychologii ogólnej.</w:t>
            </w:r>
            <w:r>
              <w:rPr>
                <w:rFonts w:asciiTheme="minorHAnsi" w:hAnsiTheme="minorHAnsi" w:cstheme="minorHAnsi"/>
                <w:sz w:val="20"/>
                <w:szCs w:val="20"/>
              </w:rPr>
              <w:br/>
              <w:t>Psychologiczne i etyczne problemy wykonywania zawodu dietetyka.</w:t>
            </w:r>
            <w:r>
              <w:rPr>
                <w:rFonts w:asciiTheme="minorHAnsi" w:hAnsiTheme="minorHAnsi" w:cstheme="minorHAnsi"/>
                <w:sz w:val="20"/>
                <w:szCs w:val="20"/>
              </w:rPr>
              <w:br/>
              <w:t>Podstawowe definicje obszarowe.</w:t>
            </w:r>
            <w:r>
              <w:rPr>
                <w:rFonts w:asciiTheme="minorHAnsi" w:hAnsiTheme="minorHAnsi" w:cstheme="minorHAnsi"/>
                <w:sz w:val="20"/>
                <w:szCs w:val="20"/>
              </w:rPr>
              <w:br/>
              <w:t>Paradygmaty w psychologii.</w:t>
            </w:r>
            <w:r>
              <w:rPr>
                <w:rFonts w:asciiTheme="minorHAnsi" w:hAnsiTheme="minorHAnsi" w:cstheme="minorHAnsi"/>
                <w:sz w:val="20"/>
                <w:szCs w:val="20"/>
              </w:rPr>
              <w:br/>
              <w:t>Psychologiczne podstawy edukacji żywieniowej.</w:t>
            </w:r>
            <w:r>
              <w:rPr>
                <w:rFonts w:asciiTheme="minorHAnsi" w:hAnsiTheme="minorHAnsi" w:cstheme="minorHAnsi"/>
                <w:sz w:val="20"/>
                <w:szCs w:val="20"/>
              </w:rPr>
              <w:br/>
              <w:t xml:space="preserve">Seminaria: Psychologiczno-pedagogiczne podstawy edukacji żywieniowej. Psychologiczno-pedagogiczne podstawy edukacji żywieniowej.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Psychologiczne podstawy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człowieka. Psychologiczne podstawy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człowieka. Podstawy </w:t>
            </w:r>
            <w:proofErr w:type="spellStart"/>
            <w:r>
              <w:rPr>
                <w:rFonts w:asciiTheme="minorHAnsi" w:hAnsiTheme="minorHAnsi" w:cstheme="minorHAnsi"/>
                <w:sz w:val="20"/>
                <w:szCs w:val="20"/>
              </w:rPr>
              <w:t>psychodietetyki</w:t>
            </w:r>
            <w:proofErr w:type="spellEnd"/>
            <w:r>
              <w:rPr>
                <w:rFonts w:asciiTheme="minorHAnsi" w:hAnsiTheme="minorHAnsi" w:cstheme="minorHAnsi"/>
                <w:sz w:val="20"/>
                <w:szCs w:val="20"/>
              </w:rPr>
              <w:t xml:space="preserve">. Psychologia żywienia. Psychologia różnic indywidualnych a postawy względem żywienia i żywności.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Psychologiczne uwarunkowania kontaktu z pacjentem. Style komunikowania. Bariery w komunikowaniu.</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projekt, 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Filozofia i podstawy etyki/ B. Człowiek, umysł i kompetencje moralne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K04,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Specyfika refleksji filozoficznej i etycznej.</w:t>
            </w:r>
            <w:r>
              <w:rPr>
                <w:rFonts w:asciiTheme="minorHAnsi" w:eastAsia="Times New Roman" w:hAnsiTheme="minorHAnsi" w:cstheme="minorHAnsi"/>
                <w:sz w:val="20"/>
                <w:szCs w:val="20"/>
                <w:lang w:eastAsia="pl-PL"/>
              </w:rPr>
              <w:br/>
              <w:t>Filozofia i etyka pośród innych nauk.</w:t>
            </w:r>
            <w:r>
              <w:rPr>
                <w:rFonts w:asciiTheme="minorHAnsi" w:eastAsia="Times New Roman" w:hAnsiTheme="minorHAnsi" w:cstheme="minorHAnsi"/>
                <w:sz w:val="20"/>
                <w:szCs w:val="20"/>
                <w:lang w:eastAsia="pl-PL"/>
              </w:rPr>
              <w:br/>
              <w:t>Propedeutyka filozofii i etyki; podstawowe pojęcia z zakresu ontologii epistemologii i aksjologii.</w:t>
            </w:r>
            <w:r>
              <w:rPr>
                <w:rFonts w:asciiTheme="minorHAnsi" w:eastAsia="Times New Roman" w:hAnsiTheme="minorHAnsi" w:cstheme="minorHAnsi"/>
                <w:sz w:val="20"/>
                <w:szCs w:val="20"/>
                <w:lang w:eastAsia="pl-PL"/>
              </w:rPr>
              <w:br/>
              <w:t>Etyka jako nauka o moralności.</w:t>
            </w:r>
            <w:r>
              <w:rPr>
                <w:rFonts w:asciiTheme="minorHAnsi" w:eastAsia="Times New Roman" w:hAnsiTheme="minorHAnsi" w:cstheme="minorHAnsi"/>
                <w:sz w:val="20"/>
                <w:szCs w:val="20"/>
                <w:lang w:eastAsia="pl-PL"/>
              </w:rPr>
              <w:br/>
              <w:t>Wykorzystanie doktryn i współczesna obecność różnorodnych koncepcji filozoficznych takich jak: egzystencjalizm, utylitaryzm, hedonizm, demokracja itp.</w:t>
            </w:r>
            <w:r>
              <w:rPr>
                <w:rFonts w:asciiTheme="minorHAnsi" w:eastAsia="Times New Roman" w:hAnsiTheme="minorHAnsi" w:cstheme="minorHAnsi"/>
                <w:sz w:val="20"/>
                <w:szCs w:val="20"/>
                <w:lang w:eastAsia="pl-PL"/>
              </w:rPr>
              <w:br/>
              <w:t>Filozofie odżywiania się –</w:t>
            </w:r>
            <w:proofErr w:type="spellStart"/>
            <w:r>
              <w:rPr>
                <w:rFonts w:asciiTheme="minorHAnsi" w:eastAsia="Times New Roman" w:hAnsiTheme="minorHAnsi" w:cstheme="minorHAnsi"/>
                <w:sz w:val="20"/>
                <w:szCs w:val="20"/>
                <w:lang w:eastAsia="pl-PL"/>
              </w:rPr>
              <w:t>owolaktowegetarianizm</w:t>
            </w:r>
            <w:proofErr w:type="spellEnd"/>
            <w:r>
              <w:rPr>
                <w:rFonts w:asciiTheme="minorHAnsi" w:eastAsia="Times New Roman" w:hAnsiTheme="minorHAnsi" w:cstheme="minorHAnsi"/>
                <w:sz w:val="20"/>
                <w:szCs w:val="20"/>
                <w:lang w:eastAsia="pl-PL"/>
              </w:rPr>
              <w:t>, weganizm, wegetarianizm, joga, taoizm i inne. Rola dietetyka wobec chorób cywilizacyjnych, wobec anoreksji, bulimii.</w:t>
            </w:r>
            <w:r>
              <w:rPr>
                <w:rFonts w:asciiTheme="minorHAnsi" w:eastAsia="Times New Roman" w:hAnsiTheme="minorHAnsi" w:cstheme="minorHAnsi"/>
                <w:sz w:val="20"/>
                <w:szCs w:val="20"/>
                <w:lang w:eastAsia="pl-PL"/>
              </w:rPr>
              <w:br/>
              <w:t xml:space="preserve">Upodmiotowienie żywności.  </w:t>
            </w:r>
            <w:r>
              <w:rPr>
                <w:rFonts w:asciiTheme="minorHAnsi" w:eastAsia="Times New Roman" w:hAnsiTheme="minorHAnsi" w:cstheme="minorHAnsi"/>
                <w:sz w:val="20"/>
                <w:szCs w:val="20"/>
                <w:lang w:eastAsia="pl-PL"/>
              </w:rPr>
              <w:lastRenderedPageBreak/>
              <w:t>Aksjologia jako nauka o wartościach. Modele systemu wartości. Wartości mające wpływ na współdziałanie z innymi ludźmi, ułatwiające realizacje idei człowieczeństwa. Wartości ważne w zawodzie dietetyka.</w:t>
            </w:r>
            <w:r>
              <w:rPr>
                <w:rFonts w:asciiTheme="minorHAnsi" w:eastAsia="Times New Roman" w:hAnsiTheme="minorHAnsi" w:cstheme="minorHAnsi"/>
                <w:sz w:val="20"/>
                <w:szCs w:val="20"/>
                <w:lang w:eastAsia="pl-PL"/>
              </w:rPr>
              <w:br/>
              <w:t>Umiejętności dostosowania pracy dietetyka do uwarunkowań społeczno-wyznaniowych w rożnych kręgach kulturowych. Żywienie a religia, pokarm w religiach. Jedzenie elementem kultury i obrzędów świątecznych.</w:t>
            </w:r>
            <w:r>
              <w:rPr>
                <w:rFonts w:asciiTheme="minorHAnsi" w:eastAsia="Times New Roman" w:hAnsiTheme="minorHAnsi" w:cstheme="minorHAnsi"/>
                <w:sz w:val="20"/>
                <w:szCs w:val="20"/>
                <w:lang w:eastAsia="pl-PL"/>
              </w:rPr>
              <w:br/>
              <w:t>Znaczenie norm w życiu człowieka.</w:t>
            </w:r>
            <w:r>
              <w:rPr>
                <w:rFonts w:asciiTheme="minorHAnsi" w:eastAsia="Times New Roman" w:hAnsiTheme="minorHAnsi" w:cstheme="minorHAnsi"/>
                <w:sz w:val="20"/>
                <w:szCs w:val="20"/>
                <w:lang w:eastAsia="pl-PL"/>
              </w:rPr>
              <w:br/>
              <w:t>Problemy etyczne we współczesnej biomedycynie.</w:t>
            </w:r>
            <w:r>
              <w:rPr>
                <w:rFonts w:asciiTheme="minorHAnsi" w:eastAsia="Times New Roman" w:hAnsiTheme="minorHAnsi" w:cstheme="minorHAnsi"/>
                <w:sz w:val="20"/>
                <w:szCs w:val="20"/>
                <w:lang w:eastAsia="pl-PL"/>
              </w:rPr>
              <w:br/>
              <w:t>Problemy etyczne we współczesnej ochronie zdrowia. </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 projekt, esej</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Technologie informacyjne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1. Edycja i formatowanie tekstów, tabel; </w:t>
            </w:r>
            <w:proofErr w:type="spellStart"/>
            <w:r>
              <w:rPr>
                <w:rFonts w:asciiTheme="minorHAnsi" w:hAnsiTheme="minorHAnsi" w:cstheme="minorHAnsi"/>
                <w:sz w:val="20"/>
                <w:szCs w:val="20"/>
                <w:lang w:eastAsia="pl-PL"/>
              </w:rPr>
              <w:t>równan</w:t>
            </w:r>
            <w:proofErr w:type="spellEnd"/>
            <w:r>
              <w:rPr>
                <w:rFonts w:asciiTheme="minorHAnsi" w:hAnsiTheme="minorHAnsi" w:cstheme="minorHAnsi"/>
                <w:sz w:val="20"/>
                <w:szCs w:val="20"/>
                <w:lang w:eastAsia="pl-PL"/>
              </w:rPr>
              <w:t xml:space="preserve">́ matematycznych i elementów graficznych, tworzenie bibliografii.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2. Projektowanie prezentacji multimedialnych.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3. Tworzenie I analiza baz danych, praca z arkuszem kalkulacyjnym.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4. Tworzenie ankiety w formularzu Google.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Szkolenie BHP (online)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1. Wybrane regulacje prawne z zakresu bezpieczeństwa i higieny pracy.</w:t>
            </w:r>
            <w:r>
              <w:rPr>
                <w:rFonts w:asciiTheme="minorHAnsi" w:hAnsiTheme="minorHAnsi" w:cstheme="minorHAnsi"/>
                <w:sz w:val="20"/>
                <w:szCs w:val="20"/>
              </w:rPr>
              <w:br/>
              <w:t>2. Ogólne zasady bezpiecznej pracy i nauki w laboratoriach, klinikach, na salach ćwiczeń oraz ochrona zdrowia i życia przed czynnikami niebezpiecznymi.</w:t>
            </w:r>
            <w:r>
              <w:rPr>
                <w:rFonts w:asciiTheme="minorHAnsi" w:hAnsiTheme="minorHAnsi" w:cstheme="minorHAnsi"/>
                <w:sz w:val="20"/>
                <w:szCs w:val="20"/>
              </w:rPr>
              <w:br/>
              <w:t>3. Postępowanie w razie wypadku podczas nauki i pracy, w tym zasady udzielania pierwszej pomocy przedmedycznej.</w:t>
            </w:r>
            <w:r>
              <w:rPr>
                <w:rFonts w:asciiTheme="minorHAnsi" w:hAnsiTheme="minorHAnsi" w:cstheme="minorHAnsi"/>
                <w:sz w:val="20"/>
                <w:szCs w:val="20"/>
              </w:rPr>
              <w:br/>
              <w:t>4. Ochrona przeciwpożarowa.</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13. </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Szkolenie biblioteczne (online)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Ogólne informacje o Bibliotece Głównej i systemie biblioteczno-informacyjnym Uniwersytetu Medycznego w Poznaniu,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Struktura organizacyjna BG oraz charakterystyka zbiorów bibliotecznych.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Zasady udostępniania zbiorów bibliotecznych,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Lokalizacja dokumentów i katalog Horizon jako źródło informacji o zasobach bibliotecznych tradycyjnych i elektronicznych,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Prezentacja strony internetowej Biblioteki Głównej.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Omówienie zasobów elektronicznych ( bazy danych, e-czasopisma i e-książki).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Informacja o usługach biblioteczno-informacyjnych.</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Genetyka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rPr>
                <w:rFonts w:asciiTheme="minorHAnsi" w:eastAsia="Times New Roman" w:hAnsiTheme="minorHAnsi" w:cstheme="minorHAnsi"/>
                <w:sz w:val="20"/>
                <w:szCs w:val="20"/>
                <w:lang w:eastAsia="pl-PL"/>
              </w:rPr>
            </w:pPr>
          </w:p>
          <w:p w:rsidR="00373AC5" w:rsidRDefault="00373AC5">
            <w:pPr>
              <w:spacing w:after="0" w:line="240" w:lineRule="auto"/>
              <w:rPr>
                <w:rFonts w:asciiTheme="minorHAnsi" w:eastAsia="Times New Roman" w:hAnsiTheme="minorHAnsi" w:cstheme="minorHAnsi"/>
                <w:sz w:val="20"/>
                <w:szCs w:val="20"/>
                <w:lang w:eastAsia="pl-PL"/>
              </w:rPr>
            </w:pP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b/>
                <w:sz w:val="20"/>
                <w:szCs w:val="20"/>
                <w:shd w:val="clear" w:color="auto" w:fill="FFFFFF"/>
              </w:rPr>
            </w:pPr>
            <w:r>
              <w:rPr>
                <w:rFonts w:asciiTheme="minorHAnsi" w:eastAsia="Times New Roman" w:hAnsiTheme="minorHAnsi" w:cstheme="minorHAnsi"/>
                <w:sz w:val="20"/>
                <w:szCs w:val="20"/>
                <w:shd w:val="clear" w:color="auto" w:fill="FFFFFF"/>
              </w:rPr>
              <w:t>Wykłady: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1. Budowa genomu jądrowego i mitochondrialnego. Polimorfizmy w genomie człowieka.</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2. Rodzaje chorób uwarunkowanych genetycznie. Typy mutacji.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3. Chromatyna. Prawidłowe chromosomy człowieka. Rodzaje aberracji chromosomowych i ich kliniczne skutki.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4. Typy dziedziczenia. Analiza rodowodów.</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5. Czy styl życia i odżywianie naszych rodziców i dziadków miały znaczenie dla funkcjonowania naszych genów?</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Seminaria:</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1. Genetycznie uwarunkowane przyczyny nietolerancji pokarmowych.</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 xml:space="preserve">2. Zaburzenia metabolizmu w wybranych chorobach </w:t>
            </w:r>
            <w:proofErr w:type="spellStart"/>
            <w:r>
              <w:rPr>
                <w:rFonts w:asciiTheme="minorHAnsi" w:eastAsia="Times New Roman" w:hAnsiTheme="minorHAnsi" w:cstheme="minorHAnsi"/>
                <w:sz w:val="20"/>
                <w:szCs w:val="20"/>
                <w:shd w:val="clear" w:color="auto" w:fill="FFFFFF"/>
              </w:rPr>
              <w:t>monogenowych</w:t>
            </w:r>
            <w:proofErr w:type="spellEnd"/>
            <w:r>
              <w:rPr>
                <w:rFonts w:asciiTheme="minorHAnsi" w:eastAsia="Times New Roman" w:hAnsiTheme="minorHAnsi" w:cstheme="minorHAnsi"/>
                <w:sz w:val="20"/>
                <w:szCs w:val="20"/>
                <w:shd w:val="clear" w:color="auto" w:fill="FFFFFF"/>
              </w:rPr>
              <w:t>. Rola diety.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3. Cukrzyca. Geny związane metabolizmem glukozy i regulacją insuliny.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4. Genetycznie uwarunkowane przyczyny otyłości.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5. Środowiskowe uwarunkowania wad wrodzonych, profilaktyczna rola diety podczas ciąży.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 xml:space="preserve">6. Rola diety w profilaktyce chorób nowotworowych. Karcynogeny w żywności. Dieta </w:t>
            </w:r>
            <w:r>
              <w:rPr>
                <w:rFonts w:asciiTheme="minorHAnsi" w:eastAsia="Times New Roman" w:hAnsiTheme="minorHAnsi" w:cstheme="minorHAnsi"/>
                <w:sz w:val="20"/>
                <w:szCs w:val="20"/>
                <w:shd w:val="clear" w:color="auto" w:fill="FFFFFF"/>
              </w:rPr>
              <w:lastRenderedPageBreak/>
              <w:t>jako element terapii przeciwnowotworowej.</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7. Uwarunkowane genetycznie choroby układu krążenia.</w:t>
            </w:r>
            <w:r>
              <w:rPr>
                <w:rFonts w:asciiTheme="minorHAnsi" w:eastAsia="Times New Roman" w:hAnsiTheme="minorHAnsi" w:cstheme="minorHAnsi"/>
                <w:sz w:val="20"/>
                <w:szCs w:val="20"/>
                <w:lang w:eastAsia="pl-PL"/>
              </w:rPr>
              <w:t>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Mikrobiologia ogólna i żywności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Struktura mikroorganizmów. Charakterystyka biologiczna bakterii, grzybów i </w:t>
            </w:r>
            <w:proofErr w:type="spellStart"/>
            <w:r>
              <w:rPr>
                <w:rFonts w:asciiTheme="minorHAnsi" w:eastAsia="Times New Roman" w:hAnsiTheme="minorHAnsi" w:cstheme="minorHAnsi"/>
                <w:sz w:val="20"/>
                <w:szCs w:val="20"/>
                <w:lang w:eastAsia="pl-PL"/>
              </w:rPr>
              <w:t>wirusów.Wpływ</w:t>
            </w:r>
            <w:proofErr w:type="spellEnd"/>
            <w:r>
              <w:rPr>
                <w:rFonts w:asciiTheme="minorHAnsi" w:eastAsia="Times New Roman" w:hAnsiTheme="minorHAnsi" w:cstheme="minorHAnsi"/>
                <w:sz w:val="20"/>
                <w:szCs w:val="20"/>
                <w:lang w:eastAsia="pl-PL"/>
              </w:rPr>
              <w:t xml:space="preserve"> czynników fizycznych i chemicznych na drobnoustroje.</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Kolonizacja, zakażenie, choroba </w:t>
            </w:r>
            <w:proofErr w:type="spellStart"/>
            <w:r>
              <w:rPr>
                <w:rFonts w:asciiTheme="minorHAnsi" w:eastAsia="Times New Roman" w:hAnsiTheme="minorHAnsi" w:cstheme="minorHAnsi"/>
                <w:sz w:val="20"/>
                <w:szCs w:val="20"/>
                <w:lang w:eastAsia="pl-PL"/>
              </w:rPr>
              <w:t>zakaźna.Fizjologiczna</w:t>
            </w:r>
            <w:proofErr w:type="spellEnd"/>
            <w:r>
              <w:rPr>
                <w:rFonts w:asciiTheme="minorHAnsi" w:eastAsia="Times New Roman" w:hAnsiTheme="minorHAnsi" w:cstheme="minorHAnsi"/>
                <w:sz w:val="20"/>
                <w:szCs w:val="20"/>
                <w:lang w:eastAsia="pl-PL"/>
              </w:rPr>
              <w:t xml:space="preserve"> mikroflora człowieka.</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Chorobotwórczość drobnoustrojów i ich czynniki wirulencji.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Antybiotyki i chemioterapeutyki.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biologiczna </w:t>
            </w:r>
            <w:proofErr w:type="spellStart"/>
            <w:r>
              <w:rPr>
                <w:rFonts w:asciiTheme="minorHAnsi" w:eastAsia="Times New Roman" w:hAnsiTheme="minorHAnsi" w:cstheme="minorHAnsi"/>
                <w:sz w:val="20"/>
                <w:szCs w:val="20"/>
                <w:lang w:eastAsia="pl-PL"/>
              </w:rPr>
              <w:t>grzybów.Rola</w:t>
            </w:r>
            <w:proofErr w:type="spellEnd"/>
            <w:r>
              <w:rPr>
                <w:rFonts w:asciiTheme="minorHAnsi" w:eastAsia="Times New Roman" w:hAnsiTheme="minorHAnsi" w:cstheme="minorHAnsi"/>
                <w:sz w:val="20"/>
                <w:szCs w:val="20"/>
                <w:lang w:eastAsia="pl-PL"/>
              </w:rPr>
              <w:t xml:space="preserve"> bakterii w produkcji żywności.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Prebiotyki i </w:t>
            </w:r>
            <w:proofErr w:type="spellStart"/>
            <w:r>
              <w:rPr>
                <w:rFonts w:asciiTheme="minorHAnsi" w:eastAsia="Times New Roman" w:hAnsiTheme="minorHAnsi" w:cstheme="minorHAnsi"/>
                <w:sz w:val="20"/>
                <w:szCs w:val="20"/>
                <w:lang w:eastAsia="pl-PL"/>
              </w:rPr>
              <w:t>probiotyki</w:t>
            </w:r>
            <w:proofErr w:type="spellEnd"/>
            <w:r>
              <w:rPr>
                <w:rFonts w:asciiTheme="minorHAnsi" w:eastAsia="Times New Roman" w:hAnsiTheme="minorHAnsi" w:cstheme="minorHAnsi"/>
                <w:sz w:val="20"/>
                <w:szCs w:val="20"/>
                <w:lang w:eastAsia="pl-PL"/>
              </w:rPr>
              <w:t>.</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Charakterystyka wirusów i prionów. Charakterystyka wirusów chorobotwórczych dla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Podstawy diagnostyki mikrobiologicznej: pobieranie materiału diagnostycznego do </w:t>
            </w:r>
            <w:proofErr w:type="spellStart"/>
            <w:r>
              <w:rPr>
                <w:rFonts w:asciiTheme="minorHAnsi" w:eastAsia="Times New Roman" w:hAnsiTheme="minorHAnsi" w:cstheme="minorHAnsi"/>
                <w:sz w:val="20"/>
                <w:szCs w:val="20"/>
                <w:lang w:eastAsia="pl-PL"/>
              </w:rPr>
              <w:t>badań,mikroskopia</w:t>
            </w:r>
            <w:proofErr w:type="spellEnd"/>
            <w:r>
              <w:rPr>
                <w:rFonts w:asciiTheme="minorHAnsi" w:eastAsia="Times New Roman" w:hAnsiTheme="minorHAnsi" w:cstheme="minorHAnsi"/>
                <w:sz w:val="20"/>
                <w:szCs w:val="20"/>
                <w:lang w:eastAsia="pl-PL"/>
              </w:rPr>
              <w:t>, techniki barwienia materiału diagnostycznego, hodowle drobnoustrojów.</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Rola bakterii w produkcji żywności. Naturalna mikroflora wybranych surowców</w:t>
            </w:r>
            <w:r>
              <w:rPr>
                <w:rFonts w:asciiTheme="minorHAnsi" w:eastAsia="Times New Roman" w:hAnsiTheme="minorHAnsi" w:cstheme="minorHAnsi"/>
                <w:sz w:val="20"/>
                <w:szCs w:val="20"/>
                <w:lang w:eastAsia="pl-PL"/>
              </w:rPr>
              <w:br/>
              <w:t>i produktów gotowych. Czynniki fizyczne i chemiczne ograniczające rozwój mikroflory w żywności. Dezynfekcja, antyseptyka i sterylizacja.</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rodzajów bakterii: </w:t>
            </w:r>
            <w:proofErr w:type="spellStart"/>
            <w:r>
              <w:rPr>
                <w:rFonts w:asciiTheme="minorHAnsi" w:eastAsia="Times New Roman" w:hAnsiTheme="minorHAnsi" w:cstheme="minorHAnsi"/>
                <w:sz w:val="20"/>
                <w:szCs w:val="20"/>
                <w:lang w:eastAsia="pl-PL"/>
              </w:rPr>
              <w:t>Staphylococcus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Streptococcus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lastRenderedPageBreak/>
              <w:t>Enterococcus</w:t>
            </w:r>
            <w:proofErr w:type="spellEnd"/>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Neisseria</w:t>
            </w:r>
            <w:proofErr w:type="spellEnd"/>
            <w:r>
              <w:rPr>
                <w:rFonts w:asciiTheme="minorHAnsi" w:eastAsia="Times New Roman" w:hAnsiTheme="minorHAnsi" w:cstheme="minorHAnsi"/>
                <w:sz w:val="20"/>
                <w:szCs w:val="20"/>
                <w:lang w:eastAsia="pl-PL"/>
              </w:rPr>
              <w:t xml:space="preserve">. Charakterystyka i chorobotwórczość pałeczek Gram-dodatnich: </w:t>
            </w:r>
            <w:proofErr w:type="spellStart"/>
            <w:r>
              <w:rPr>
                <w:rFonts w:asciiTheme="minorHAnsi" w:eastAsia="Times New Roman" w:hAnsiTheme="minorHAnsi" w:cstheme="minorHAnsi"/>
                <w:sz w:val="20"/>
                <w:szCs w:val="20"/>
                <w:lang w:eastAsia="pl-PL"/>
              </w:rPr>
              <w:t>Corynebacterium</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Listeria</w:t>
            </w:r>
            <w:proofErr w:type="spellEnd"/>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Legionella</w:t>
            </w:r>
            <w:proofErr w:type="spellEnd"/>
            <w:r>
              <w:rPr>
                <w:rFonts w:asciiTheme="minorHAnsi" w:eastAsia="Times New Roman" w:hAnsiTheme="minorHAnsi" w:cstheme="minorHAnsi"/>
                <w:sz w:val="20"/>
                <w:szCs w:val="20"/>
                <w:lang w:eastAsia="pl-PL"/>
              </w:rPr>
              <w:t xml:space="preserve">. Bakterie Gram-dodatnie </w:t>
            </w:r>
            <w:proofErr w:type="spellStart"/>
            <w:r>
              <w:rPr>
                <w:rFonts w:asciiTheme="minorHAnsi" w:eastAsia="Times New Roman" w:hAnsiTheme="minorHAnsi" w:cstheme="minorHAnsi"/>
                <w:sz w:val="20"/>
                <w:szCs w:val="20"/>
                <w:lang w:eastAsia="pl-PL"/>
              </w:rPr>
              <w:t>kwasooporne</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Mycobacterium</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Nocardia</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bakterii </w:t>
            </w:r>
            <w:proofErr w:type="spellStart"/>
            <w:r>
              <w:rPr>
                <w:rFonts w:asciiTheme="minorHAnsi" w:eastAsia="Times New Roman" w:hAnsiTheme="minorHAnsi" w:cstheme="minorHAnsi"/>
                <w:sz w:val="20"/>
                <w:szCs w:val="20"/>
                <w:lang w:eastAsia="pl-PL"/>
              </w:rPr>
              <w:t>przetrwalnikujących</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Bacillus</w:t>
            </w:r>
            <w:proofErr w:type="spellEnd"/>
            <w:r>
              <w:rPr>
                <w:rFonts w:asciiTheme="minorHAnsi" w:eastAsia="Times New Roman" w:hAnsiTheme="minorHAnsi" w:cstheme="minorHAnsi"/>
                <w:sz w:val="20"/>
                <w:szCs w:val="20"/>
                <w:lang w:eastAsia="pl-PL"/>
              </w:rPr>
              <w:t xml:space="preserve"> i Clostridium.</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Bakterie beztlenowe – </w:t>
            </w:r>
            <w:proofErr w:type="spellStart"/>
            <w:r>
              <w:rPr>
                <w:rFonts w:asciiTheme="minorHAnsi" w:eastAsia="Times New Roman" w:hAnsiTheme="minorHAnsi" w:cstheme="minorHAnsi"/>
                <w:sz w:val="20"/>
                <w:szCs w:val="20"/>
                <w:lang w:eastAsia="pl-PL"/>
              </w:rPr>
              <w:t>nieprzetrwalnikujące</w:t>
            </w:r>
            <w:proofErr w:type="spellEnd"/>
            <w:r>
              <w:rPr>
                <w:rFonts w:asciiTheme="minorHAnsi" w:eastAsia="Times New Roman" w:hAnsiTheme="minorHAnsi" w:cstheme="minorHAnsi"/>
                <w:sz w:val="20"/>
                <w:szCs w:val="20"/>
                <w:lang w:eastAsia="pl-PL"/>
              </w:rPr>
              <w:t>. Charakterystyka i chorobotwórczość pałeczek Gram-ujemnych (</w:t>
            </w:r>
            <w:proofErr w:type="spellStart"/>
            <w:r>
              <w:rPr>
                <w:rFonts w:asciiTheme="minorHAnsi" w:eastAsia="Times New Roman" w:hAnsiTheme="minorHAnsi" w:cstheme="minorHAnsi"/>
                <w:sz w:val="20"/>
                <w:szCs w:val="20"/>
                <w:lang w:eastAsia="pl-PL"/>
              </w:rPr>
              <w:t>Haemophilus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BordetellaiPseudomonas</w:t>
            </w:r>
            <w:proofErr w:type="spellEnd"/>
            <w:r>
              <w:rPr>
                <w:rFonts w:asciiTheme="minorHAnsi" w:eastAsia="Times New Roman" w:hAnsiTheme="minorHAnsi" w:cstheme="minorHAnsi"/>
                <w:sz w:val="20"/>
                <w:szCs w:val="20"/>
                <w:lang w:eastAsia="pl-PL"/>
              </w:rPr>
              <w:t xml:space="preserve">) oraz rzędu bakterii: </w:t>
            </w:r>
            <w:proofErr w:type="spellStart"/>
            <w:r>
              <w:rPr>
                <w:rFonts w:asciiTheme="minorHAnsi" w:eastAsia="Times New Roman" w:hAnsiTheme="minorHAnsi" w:cstheme="minorHAnsi"/>
                <w:sz w:val="20"/>
                <w:szCs w:val="20"/>
                <w:lang w:eastAsia="pl-PL"/>
              </w:rPr>
              <w:t>Mycoplasmatales</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pałeczek jelitowych: Escherichia, </w:t>
            </w:r>
            <w:proofErr w:type="spellStart"/>
            <w:r>
              <w:rPr>
                <w:rFonts w:asciiTheme="minorHAnsi" w:eastAsia="Times New Roman" w:hAnsiTheme="minorHAnsi" w:cstheme="minorHAnsi"/>
                <w:sz w:val="20"/>
                <w:szCs w:val="20"/>
                <w:lang w:eastAsia="pl-PL"/>
              </w:rPr>
              <w:t>Klebsiella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Proteus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Yersinia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Shigella</w:t>
            </w:r>
            <w:proofErr w:type="spellEnd"/>
            <w:r>
              <w:rPr>
                <w:rFonts w:asciiTheme="minorHAnsi" w:eastAsia="Times New Roman" w:hAnsiTheme="minorHAnsi" w:cstheme="minorHAnsi"/>
                <w:sz w:val="20"/>
                <w:szCs w:val="20"/>
                <w:lang w:eastAsia="pl-PL"/>
              </w:rPr>
              <w:t xml:space="preserve"> i Salmonella. Charakterystyka i chorobotwórczość bakterii spiralnych (</w:t>
            </w:r>
            <w:proofErr w:type="spellStart"/>
            <w:r>
              <w:rPr>
                <w:rFonts w:asciiTheme="minorHAnsi" w:eastAsia="Times New Roman" w:hAnsiTheme="minorHAnsi" w:cstheme="minorHAnsi"/>
                <w:sz w:val="20"/>
                <w:szCs w:val="20"/>
                <w:lang w:eastAsia="pl-PL"/>
              </w:rPr>
              <w:t>Campylobacter</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Helicobacter</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Vibrio</w:t>
            </w:r>
            <w:proofErr w:type="spellEnd"/>
            <w:r>
              <w:rPr>
                <w:rFonts w:asciiTheme="minorHAnsi" w:eastAsia="Times New Roman" w:hAnsiTheme="minorHAnsi" w:cstheme="minorHAnsi"/>
                <w:sz w:val="20"/>
                <w:szCs w:val="20"/>
                <w:lang w:eastAsia="pl-PL"/>
              </w:rPr>
              <w:t>) i krętków (</w:t>
            </w:r>
            <w:proofErr w:type="spellStart"/>
            <w:r>
              <w:rPr>
                <w:rFonts w:asciiTheme="minorHAnsi" w:eastAsia="Times New Roman" w:hAnsiTheme="minorHAnsi" w:cstheme="minorHAnsi"/>
                <w:sz w:val="20"/>
                <w:szCs w:val="20"/>
                <w:lang w:eastAsia="pl-PL"/>
              </w:rPr>
              <w:t>Treponema</w:t>
            </w:r>
            <w:proofErr w:type="spellEnd"/>
            <w:r>
              <w:rPr>
                <w:rFonts w:asciiTheme="minorHAnsi" w:eastAsia="Times New Roman" w:hAnsiTheme="minorHAnsi" w:cstheme="minorHAnsi"/>
                <w:sz w:val="20"/>
                <w:szCs w:val="20"/>
                <w:lang w:eastAsia="pl-PL"/>
              </w:rPr>
              <w:t xml:space="preserve">, Leptospira, </w:t>
            </w:r>
            <w:proofErr w:type="spellStart"/>
            <w:r>
              <w:rPr>
                <w:rFonts w:asciiTheme="minorHAnsi" w:eastAsia="Times New Roman" w:hAnsiTheme="minorHAnsi" w:cstheme="minorHAnsi"/>
                <w:sz w:val="20"/>
                <w:szCs w:val="20"/>
                <w:lang w:eastAsia="pl-PL"/>
              </w:rPr>
              <w:t>Borrelia</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Metody badań </w:t>
            </w:r>
            <w:proofErr w:type="spellStart"/>
            <w:r>
              <w:rPr>
                <w:rFonts w:asciiTheme="minorHAnsi" w:eastAsia="Times New Roman" w:hAnsiTheme="minorHAnsi" w:cstheme="minorHAnsi"/>
                <w:sz w:val="20"/>
                <w:szCs w:val="20"/>
                <w:lang w:eastAsia="pl-PL"/>
              </w:rPr>
              <w:t>lekowrażliwości</w:t>
            </w:r>
            <w:proofErr w:type="spellEnd"/>
            <w:r>
              <w:rPr>
                <w:rFonts w:asciiTheme="minorHAnsi" w:eastAsia="Times New Roman" w:hAnsiTheme="minorHAnsi" w:cstheme="minorHAnsi"/>
                <w:sz w:val="20"/>
                <w:szCs w:val="20"/>
                <w:lang w:eastAsia="pl-PL"/>
              </w:rPr>
              <w:t xml:space="preserve"> bakterii.</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Grzyby chorobotwórcze dla człowieka. </w:t>
            </w:r>
            <w:proofErr w:type="spellStart"/>
            <w:r>
              <w:rPr>
                <w:rFonts w:asciiTheme="minorHAnsi" w:eastAsia="Times New Roman" w:hAnsiTheme="minorHAnsi" w:cstheme="minorHAnsi"/>
                <w:sz w:val="20"/>
                <w:szCs w:val="20"/>
                <w:lang w:eastAsia="pl-PL"/>
              </w:rPr>
              <w:t>Mikotoksyny</w:t>
            </w:r>
            <w:proofErr w:type="spellEnd"/>
            <w:r>
              <w:rPr>
                <w:rFonts w:asciiTheme="minorHAnsi" w:eastAsia="Times New Roman" w:hAnsiTheme="minorHAnsi" w:cstheme="minorHAnsi"/>
                <w:sz w:val="20"/>
                <w:szCs w:val="20"/>
                <w:lang w:eastAsia="pl-PL"/>
              </w:rPr>
              <w:t>. Diagnostyka mikologiczna wybranych grzybów chorobotwórczych. Chorobotwórczość pasożytniczych pierwotniaków człowieka.</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 analiza przypadków</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Podstawy diagnostyki laboratoryjnej</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Pr>
                <w:rFonts w:asciiTheme="minorHAnsi" w:eastAsia="Times New Roman" w:hAnsiTheme="minorHAnsi" w:cstheme="minorHAnsi"/>
                <w:sz w:val="20"/>
                <w:szCs w:val="20"/>
                <w:lang w:eastAsia="pl-PL"/>
              </w:rPr>
              <w:br/>
              <w:t>1. Badania laboratoryjne jako źródło informacji o stanie zdrowia. Pojęcie wartości referencyjnej, nieprawidłowej, krytycznej. Wiarygodność wyniku laboratoryjnego.</w:t>
            </w:r>
            <w:r>
              <w:rPr>
                <w:rFonts w:asciiTheme="minorHAnsi" w:eastAsia="Times New Roman" w:hAnsiTheme="minorHAnsi" w:cstheme="minorHAnsi"/>
                <w:sz w:val="20"/>
                <w:szCs w:val="20"/>
                <w:lang w:eastAsia="pl-PL"/>
              </w:rPr>
              <w:br/>
              <w:t>2. Krew, mocz, kał, płyn mózgowo-rdzeniowy jako materiał analityczny.</w:t>
            </w:r>
            <w:r>
              <w:rPr>
                <w:rFonts w:asciiTheme="minorHAnsi" w:eastAsia="Times New Roman" w:hAnsiTheme="minorHAnsi" w:cstheme="minorHAnsi"/>
                <w:sz w:val="20"/>
                <w:szCs w:val="20"/>
                <w:lang w:eastAsia="pl-PL"/>
              </w:rPr>
              <w:br/>
              <w:t xml:space="preserve">3. Czynniki </w:t>
            </w:r>
            <w:proofErr w:type="spellStart"/>
            <w:r>
              <w:rPr>
                <w:rFonts w:asciiTheme="minorHAnsi" w:eastAsia="Times New Roman" w:hAnsiTheme="minorHAnsi" w:cstheme="minorHAnsi"/>
                <w:sz w:val="20"/>
                <w:szCs w:val="20"/>
                <w:lang w:eastAsia="pl-PL"/>
              </w:rPr>
              <w:t>przedanalityczne</w:t>
            </w:r>
            <w:proofErr w:type="spellEnd"/>
            <w:r>
              <w:rPr>
                <w:rFonts w:asciiTheme="minorHAnsi" w:eastAsia="Times New Roman" w:hAnsiTheme="minorHAnsi" w:cstheme="minorHAnsi"/>
                <w:sz w:val="20"/>
                <w:szCs w:val="20"/>
                <w:lang w:eastAsia="pl-PL"/>
              </w:rPr>
              <w:t xml:space="preserve"> i ich wpływ na wyniki badań laboratoryjnych.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Seminaria:</w:t>
            </w:r>
            <w:r>
              <w:rPr>
                <w:rFonts w:asciiTheme="minorHAnsi" w:eastAsia="Times New Roman" w:hAnsiTheme="minorHAnsi" w:cstheme="minorHAnsi"/>
                <w:sz w:val="20"/>
                <w:szCs w:val="20"/>
                <w:lang w:eastAsia="pl-PL"/>
              </w:rPr>
              <w:br/>
              <w:t>1. Odrębności w diagnostyce laboratoryjnej w okresie ciąży, noworodkowym oraz okresie starości.</w:t>
            </w:r>
            <w:r>
              <w:rPr>
                <w:rFonts w:asciiTheme="minorHAnsi" w:eastAsia="Times New Roman" w:hAnsiTheme="minorHAnsi" w:cstheme="minorHAnsi"/>
                <w:sz w:val="20"/>
                <w:szCs w:val="20"/>
                <w:lang w:eastAsia="pl-PL"/>
              </w:rPr>
              <w:br/>
              <w:t>2. Diagnostyka laboratoryjna otyłości i niedożywienia.</w:t>
            </w:r>
            <w:r>
              <w:rPr>
                <w:rFonts w:asciiTheme="minorHAnsi" w:eastAsia="Times New Roman" w:hAnsiTheme="minorHAnsi" w:cstheme="minorHAnsi"/>
                <w:sz w:val="20"/>
                <w:szCs w:val="20"/>
                <w:lang w:eastAsia="pl-PL"/>
              </w:rPr>
              <w:br/>
              <w:t>3. Diagnostyka laboratoryjna chorób układu pokarmowego.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1. Organizacja badań laboratoryjnych w oddziale szpitalnym (współpraca z laboratorium). Wprowadzenie do kontroli wewnątrzlaboratoryjnej - wyznaczenie precyzji i dokładności analitycznej na podstawie oznaczenia stężenia białka całkowitego metodą biuretową.</w:t>
            </w:r>
            <w:r>
              <w:rPr>
                <w:rFonts w:asciiTheme="minorHAnsi" w:eastAsia="Times New Roman" w:hAnsiTheme="minorHAnsi" w:cstheme="minorHAnsi"/>
                <w:sz w:val="20"/>
                <w:szCs w:val="20"/>
                <w:lang w:eastAsia="pl-PL"/>
              </w:rPr>
              <w:br/>
              <w:t>2. Morfologia oraz badanie ogólne moczu - interpretacja wyników laboratoryjnych.</w:t>
            </w:r>
            <w:r>
              <w:rPr>
                <w:rFonts w:asciiTheme="minorHAnsi" w:eastAsia="Times New Roman" w:hAnsiTheme="minorHAnsi" w:cstheme="minorHAnsi"/>
                <w:sz w:val="20"/>
                <w:szCs w:val="20"/>
                <w:lang w:eastAsia="pl-PL"/>
              </w:rPr>
              <w:br/>
              <w:t xml:space="preserve">3. Zaburzenia gospodarki wodno-elektrolitowej (hiponatremia, </w:t>
            </w:r>
            <w:proofErr w:type="spellStart"/>
            <w:r>
              <w:rPr>
                <w:rFonts w:asciiTheme="minorHAnsi" w:eastAsia="Times New Roman" w:hAnsiTheme="minorHAnsi" w:cstheme="minorHAnsi"/>
                <w:sz w:val="20"/>
                <w:szCs w:val="20"/>
                <w:lang w:eastAsia="pl-PL"/>
              </w:rPr>
              <w:t>hipernatremia</w:t>
            </w:r>
            <w:proofErr w:type="spellEnd"/>
            <w:r>
              <w:rPr>
                <w:rFonts w:asciiTheme="minorHAnsi" w:eastAsia="Times New Roman" w:hAnsiTheme="minorHAnsi" w:cstheme="minorHAnsi"/>
                <w:sz w:val="20"/>
                <w:szCs w:val="20"/>
                <w:lang w:eastAsia="pl-PL"/>
              </w:rPr>
              <w:t xml:space="preserve">, hipokaliemia, hiperkaliemia) oraz równowagi kwasowo-zasadowej (kwasice i </w:t>
            </w:r>
            <w:proofErr w:type="spellStart"/>
            <w:r>
              <w:rPr>
                <w:rFonts w:asciiTheme="minorHAnsi" w:eastAsia="Times New Roman" w:hAnsiTheme="minorHAnsi" w:cstheme="minorHAnsi"/>
                <w:sz w:val="20"/>
                <w:szCs w:val="20"/>
                <w:lang w:eastAsia="pl-PL"/>
              </w:rPr>
              <w:t>zasadowice</w:t>
            </w:r>
            <w:proofErr w:type="spellEnd"/>
            <w:r>
              <w:rPr>
                <w:rFonts w:asciiTheme="minorHAnsi" w:eastAsia="Times New Roman" w:hAnsiTheme="minorHAnsi" w:cstheme="minorHAnsi"/>
                <w:sz w:val="20"/>
                <w:szCs w:val="20"/>
                <w:lang w:eastAsia="pl-PL"/>
              </w:rPr>
              <w:t>) - interpretacja wyników laboratoryjnych.</w:t>
            </w:r>
            <w:r>
              <w:rPr>
                <w:rFonts w:asciiTheme="minorHAnsi" w:eastAsia="Times New Roman" w:hAnsiTheme="minorHAnsi" w:cstheme="minorHAnsi"/>
                <w:sz w:val="20"/>
                <w:szCs w:val="20"/>
                <w:lang w:eastAsia="pl-PL"/>
              </w:rPr>
              <w:br/>
              <w:t>4. Zaburzenia gospodarki węglowodanowej (hipoglikemia, nietolerancja glukozy, cukrzyca, cukrzyca ciążowa, cukrzyca w ciąży) - interpretacja wyników laboratoryjnych.</w:t>
            </w:r>
            <w:r>
              <w:rPr>
                <w:rFonts w:asciiTheme="minorHAnsi" w:eastAsia="Times New Roman" w:hAnsiTheme="minorHAnsi" w:cstheme="minorHAnsi"/>
                <w:sz w:val="20"/>
                <w:szCs w:val="20"/>
                <w:lang w:eastAsia="pl-PL"/>
              </w:rPr>
              <w:br/>
              <w:t>5. Zaburzenia gospodarki lipidowej (</w:t>
            </w:r>
            <w:proofErr w:type="spellStart"/>
            <w:r>
              <w:rPr>
                <w:rFonts w:asciiTheme="minorHAnsi" w:eastAsia="Times New Roman" w:hAnsiTheme="minorHAnsi" w:cstheme="minorHAnsi"/>
                <w:sz w:val="20"/>
                <w:szCs w:val="20"/>
                <w:lang w:eastAsia="pl-PL"/>
              </w:rPr>
              <w:t>dyslipidemie</w:t>
            </w:r>
            <w:proofErr w:type="spellEnd"/>
            <w:r>
              <w:rPr>
                <w:rFonts w:asciiTheme="minorHAnsi" w:eastAsia="Times New Roman" w:hAnsiTheme="minorHAnsi" w:cstheme="minorHAnsi"/>
                <w:sz w:val="20"/>
                <w:szCs w:val="20"/>
                <w:lang w:eastAsia="pl-PL"/>
              </w:rPr>
              <w:t xml:space="preserve"> pierwotne i wtórne) - interpretacja wyników laboratoryjnych.</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 odpowiedź ustna, 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żywienia człowieka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eastAsia="Times New Roman"/>
                <w:sz w:val="20"/>
                <w:lang w:eastAsia="pl-PL"/>
              </w:rPr>
            </w:pPr>
            <w:r>
              <w:rPr>
                <w:rFonts w:eastAsia="Times New Roman"/>
                <w:sz w:val="20"/>
                <w:lang w:eastAsia="pl-PL"/>
              </w:rPr>
              <w:t>Wykłady:</w:t>
            </w:r>
          </w:p>
          <w:p w:rsidR="00373AC5" w:rsidRDefault="00373AC5">
            <w:pPr>
              <w:spacing w:after="0" w:line="240" w:lineRule="auto"/>
              <w:rPr>
                <w:rFonts w:eastAsia="Times New Roman"/>
                <w:sz w:val="20"/>
                <w:lang w:eastAsia="pl-PL"/>
              </w:rPr>
            </w:pPr>
            <w:r>
              <w:rPr>
                <w:rFonts w:eastAsia="Times New Roman"/>
                <w:sz w:val="20"/>
                <w:lang w:eastAsia="pl-PL"/>
              </w:rPr>
              <w:t>1. Żywienie w różnych okresach fizjologicznych.</w:t>
            </w:r>
          </w:p>
          <w:p w:rsidR="00373AC5" w:rsidRDefault="00373AC5">
            <w:pPr>
              <w:spacing w:after="0" w:line="240" w:lineRule="auto"/>
              <w:rPr>
                <w:rFonts w:eastAsia="Times New Roman"/>
                <w:sz w:val="20"/>
                <w:lang w:eastAsia="pl-PL"/>
              </w:rPr>
            </w:pPr>
            <w:r>
              <w:rPr>
                <w:rFonts w:eastAsia="Times New Roman"/>
                <w:sz w:val="20"/>
                <w:lang w:eastAsia="pl-PL"/>
              </w:rPr>
              <w:t>2. Fizjologia układu pokarmowego - aspekty kliniczne.</w:t>
            </w:r>
          </w:p>
          <w:p w:rsidR="00373AC5" w:rsidRDefault="00373AC5">
            <w:pPr>
              <w:spacing w:after="0" w:line="240" w:lineRule="auto"/>
              <w:rPr>
                <w:rFonts w:eastAsia="Times New Roman"/>
                <w:sz w:val="20"/>
                <w:lang w:eastAsia="pl-PL"/>
              </w:rPr>
            </w:pPr>
            <w:r>
              <w:rPr>
                <w:rFonts w:eastAsia="Times New Roman"/>
                <w:sz w:val="20"/>
                <w:lang w:eastAsia="pl-PL"/>
              </w:rPr>
              <w:t>3. Fizjologia trawienia i wchłaniania węglowodanów, białek i tłuszczów.</w:t>
            </w:r>
          </w:p>
          <w:p w:rsidR="00373AC5" w:rsidRDefault="00373AC5">
            <w:pPr>
              <w:spacing w:after="0" w:line="240" w:lineRule="auto"/>
              <w:rPr>
                <w:rFonts w:eastAsia="Times New Roman"/>
                <w:sz w:val="20"/>
                <w:lang w:eastAsia="pl-PL"/>
              </w:rPr>
            </w:pPr>
            <w:r>
              <w:rPr>
                <w:rFonts w:eastAsia="Times New Roman"/>
                <w:sz w:val="20"/>
                <w:lang w:eastAsia="pl-PL"/>
              </w:rPr>
              <w:t>4. Metabolizm i równowaga energetyczna.</w:t>
            </w:r>
          </w:p>
          <w:p w:rsidR="00373AC5" w:rsidRDefault="00373AC5">
            <w:pPr>
              <w:spacing w:after="0" w:line="240" w:lineRule="auto"/>
              <w:rPr>
                <w:rFonts w:eastAsia="Times New Roman"/>
                <w:sz w:val="20"/>
                <w:lang w:eastAsia="pl-PL"/>
              </w:rPr>
            </w:pPr>
            <w:r>
              <w:rPr>
                <w:rFonts w:eastAsia="Times New Roman"/>
                <w:sz w:val="20"/>
                <w:lang w:eastAsia="pl-PL"/>
              </w:rPr>
              <w:lastRenderedPageBreak/>
              <w:t xml:space="preserve">5. </w:t>
            </w:r>
            <w:proofErr w:type="spellStart"/>
            <w:r>
              <w:rPr>
                <w:rFonts w:eastAsia="Times New Roman"/>
                <w:sz w:val="20"/>
                <w:lang w:eastAsia="pl-PL"/>
              </w:rPr>
              <w:t>Mikrobiota</w:t>
            </w:r>
            <w:proofErr w:type="spellEnd"/>
            <w:r>
              <w:rPr>
                <w:rFonts w:eastAsia="Times New Roman"/>
                <w:sz w:val="20"/>
                <w:lang w:eastAsia="pl-PL"/>
              </w:rPr>
              <w:t xml:space="preserve"> jelitowa i żywieniowe metody wspomagania odporności.</w:t>
            </w:r>
          </w:p>
          <w:p w:rsidR="00373AC5" w:rsidRDefault="00373AC5">
            <w:pPr>
              <w:spacing w:after="0" w:line="240" w:lineRule="auto"/>
              <w:rPr>
                <w:rFonts w:eastAsia="Times New Roman"/>
                <w:sz w:val="20"/>
                <w:lang w:eastAsia="pl-PL"/>
              </w:rPr>
            </w:pPr>
            <w:r>
              <w:rPr>
                <w:rFonts w:eastAsia="Times New Roman"/>
                <w:sz w:val="20"/>
                <w:lang w:eastAsia="pl-PL"/>
              </w:rPr>
              <w:t>Seminaria:</w:t>
            </w:r>
          </w:p>
          <w:p w:rsidR="00373AC5" w:rsidRDefault="00373AC5">
            <w:pPr>
              <w:spacing w:after="0" w:line="240" w:lineRule="auto"/>
              <w:rPr>
                <w:rFonts w:eastAsia="Times New Roman"/>
                <w:sz w:val="20"/>
                <w:lang w:eastAsia="pl-PL"/>
              </w:rPr>
            </w:pPr>
            <w:r>
              <w:rPr>
                <w:rFonts w:eastAsia="Times New Roman"/>
                <w:sz w:val="20"/>
                <w:lang w:eastAsia="pl-PL"/>
              </w:rPr>
              <w:t>1. Praktyczne aspekty neurohormonalnej regulacji pobierania pokarmu.</w:t>
            </w:r>
          </w:p>
          <w:p w:rsidR="00373AC5" w:rsidRDefault="00373AC5">
            <w:pPr>
              <w:spacing w:after="0" w:line="240" w:lineRule="auto"/>
              <w:rPr>
                <w:rFonts w:eastAsia="Times New Roman"/>
                <w:sz w:val="20"/>
                <w:lang w:eastAsia="pl-PL"/>
              </w:rPr>
            </w:pPr>
            <w:r>
              <w:rPr>
                <w:rFonts w:eastAsia="Times New Roman"/>
                <w:sz w:val="20"/>
                <w:lang w:eastAsia="pl-PL"/>
              </w:rPr>
              <w:t>2. Programowanie płodowe.</w:t>
            </w:r>
          </w:p>
          <w:p w:rsidR="00373AC5" w:rsidRDefault="00373AC5">
            <w:pPr>
              <w:spacing w:after="0" w:line="240" w:lineRule="auto"/>
              <w:rPr>
                <w:rFonts w:eastAsia="Times New Roman"/>
                <w:sz w:val="20"/>
                <w:lang w:eastAsia="pl-PL"/>
              </w:rPr>
            </w:pPr>
            <w:r>
              <w:rPr>
                <w:rFonts w:eastAsia="Times New Roman"/>
                <w:sz w:val="20"/>
                <w:lang w:eastAsia="pl-PL"/>
              </w:rPr>
              <w:t>Ćwiczenia:</w:t>
            </w:r>
          </w:p>
          <w:p w:rsidR="00373AC5" w:rsidRDefault="00373AC5">
            <w:pPr>
              <w:spacing w:after="0" w:line="240" w:lineRule="auto"/>
              <w:rPr>
                <w:rFonts w:eastAsia="Times New Roman"/>
                <w:sz w:val="20"/>
                <w:lang w:eastAsia="pl-PL"/>
              </w:rPr>
            </w:pPr>
            <w:r>
              <w:rPr>
                <w:rFonts w:eastAsia="Times New Roman"/>
                <w:sz w:val="20"/>
                <w:lang w:eastAsia="pl-PL"/>
              </w:rPr>
              <w:t xml:space="preserve">1. Tkanka tłuszczowa jako aktywny narząd </w:t>
            </w:r>
            <w:proofErr w:type="spellStart"/>
            <w:r>
              <w:rPr>
                <w:rFonts w:eastAsia="Times New Roman"/>
                <w:sz w:val="20"/>
                <w:lang w:eastAsia="pl-PL"/>
              </w:rPr>
              <w:t>endokrynny</w:t>
            </w:r>
            <w:proofErr w:type="spellEnd"/>
            <w:r>
              <w:rPr>
                <w:rFonts w:eastAsia="Times New Roman"/>
                <w:sz w:val="20"/>
                <w:lang w:eastAsia="pl-PL"/>
              </w:rPr>
              <w:t>.</w:t>
            </w:r>
          </w:p>
          <w:p w:rsidR="00373AC5" w:rsidRDefault="00373AC5">
            <w:pPr>
              <w:spacing w:after="0" w:line="240" w:lineRule="auto"/>
              <w:rPr>
                <w:rFonts w:eastAsia="Times New Roman"/>
                <w:sz w:val="20"/>
                <w:lang w:eastAsia="pl-PL"/>
              </w:rPr>
            </w:pPr>
            <w:r>
              <w:rPr>
                <w:rFonts w:eastAsia="Times New Roman"/>
                <w:sz w:val="20"/>
                <w:lang w:eastAsia="pl-PL"/>
              </w:rPr>
              <w:t>2. Żywienie w okresie 1000 pierwszych dni życia.</w:t>
            </w:r>
          </w:p>
          <w:p w:rsidR="00373AC5" w:rsidRDefault="00373AC5">
            <w:pPr>
              <w:spacing w:after="0" w:line="240" w:lineRule="auto"/>
              <w:rPr>
                <w:rFonts w:eastAsia="Times New Roman"/>
                <w:sz w:val="20"/>
                <w:lang w:eastAsia="pl-PL"/>
              </w:rPr>
            </w:pPr>
            <w:r>
              <w:rPr>
                <w:rFonts w:eastAsia="Times New Roman"/>
                <w:sz w:val="20"/>
                <w:lang w:eastAsia="pl-PL"/>
              </w:rPr>
              <w:t>3. Wpływ żywienia na układ nerwowy.</w:t>
            </w:r>
          </w:p>
          <w:p w:rsidR="00373AC5" w:rsidRDefault="00373AC5">
            <w:pPr>
              <w:spacing w:after="0" w:line="240" w:lineRule="auto"/>
              <w:rPr>
                <w:rFonts w:asciiTheme="minorHAnsi" w:eastAsia="Times New Roman" w:hAnsiTheme="minorHAnsi" w:cstheme="minorHAnsi"/>
                <w:sz w:val="20"/>
                <w:szCs w:val="20"/>
                <w:lang w:eastAsia="pl-PL"/>
              </w:rPr>
            </w:pPr>
            <w:r>
              <w:rPr>
                <w:rFonts w:eastAsia="Times New Roman"/>
                <w:sz w:val="20"/>
                <w:lang w:eastAsia="pl-PL"/>
              </w:rPr>
              <w:t xml:space="preserve">4. Metabolizm węglowodanów oraz płynów ustrojowych. Obliczanie indeksu </w:t>
            </w:r>
            <w:proofErr w:type="spellStart"/>
            <w:r>
              <w:rPr>
                <w:rFonts w:eastAsia="Times New Roman"/>
                <w:sz w:val="20"/>
                <w:lang w:eastAsia="pl-PL"/>
              </w:rPr>
              <w:t>glikemicznego</w:t>
            </w:r>
            <w:proofErr w:type="spellEnd"/>
            <w:r>
              <w:rPr>
                <w:rFonts w:eastAsia="Times New Roman"/>
                <w:sz w:val="20"/>
                <w:lang w:eastAsia="pl-PL"/>
              </w:rPr>
              <w:t xml:space="preserve"> wybranych potraw. Analiza dobowego spożycia wody na podstawie indywidualnych jadłospisów. Ocena równowagi kwasowo-zasadowej (praca z programem komputerowym DIETETYK).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eastAsia="Times New Roman"/>
                <w:sz w:val="20"/>
                <w:lang w:eastAsia="pl-PL"/>
              </w:rPr>
            </w:pPr>
            <w:r>
              <w:rPr>
                <w:rFonts w:eastAsia="Times New Roman"/>
                <w:sz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lang w:eastAsia="pl-PL"/>
              </w:rPr>
              <w:t>Odpowiedź ustna, odpowiedź pisemna, test, projekt, analiza przypadku</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18.</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Żywienie człowieka zdrowego</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W10,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Rola poszczególnych składników pokarmowych (węglowodany, lipidy, miałka, witaminy, mikro i makroelementy) w diecie człowieka zdrowego.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Źródła składników pokarmowych.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Prawidłowe przemiany metaboliczne składników pokarmowych.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Ocena stanu odżywienia osób zdrowych.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Suplementy diety i </w:t>
            </w:r>
            <w:proofErr w:type="spellStart"/>
            <w:r>
              <w:rPr>
                <w:rFonts w:asciiTheme="minorHAnsi" w:hAnsiTheme="minorHAnsi" w:cstheme="minorHAnsi"/>
                <w:sz w:val="20"/>
                <w:szCs w:val="20"/>
              </w:rPr>
              <w:t>probiotyki</w:t>
            </w:r>
            <w:proofErr w:type="spellEnd"/>
            <w:r>
              <w:rPr>
                <w:rFonts w:asciiTheme="minorHAnsi" w:hAnsiTheme="minorHAnsi" w:cstheme="minorHAnsi"/>
                <w:sz w:val="20"/>
                <w:szCs w:val="20"/>
              </w:rPr>
              <w:t xml:space="preserve"> w diecie osoby zdrowej.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Dieta dla szczególnych grup osób zdrowych (niemowląt, dzieci, kobiet w ciąży i karmiących, sportowców, osób starszych).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Profilaktyka dietetyczna chorób cywilizacyjnych.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Diety specjalne (wegetariańska, wegańska, dieta DASH, dieta śródziemnomorska).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Diety popularne (paleolityczna, makrobiotyczna, wysokobiałkowa, wysokotłuszczowa). Oszacowanie spożycia </w:t>
            </w:r>
            <w:r>
              <w:rPr>
                <w:rFonts w:asciiTheme="minorHAnsi" w:hAnsiTheme="minorHAnsi" w:cstheme="minorHAnsi"/>
                <w:sz w:val="20"/>
                <w:szCs w:val="20"/>
              </w:rPr>
              <w:lastRenderedPageBreak/>
              <w:t xml:space="preserve">składników pokarmowych z pożywienia.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Analiza jadłospisów, dobór odpowiednich produktów spożywczych.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Bilansowanie diety osoby zdrowej.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Dieta jako element zdrowego stylu życia.</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19.</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Technologia żywności i potraw oraz towaroznawstwo/ B. Metody i organizacja produkcji żywności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379"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U17,</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U22,</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cs="Calibri"/>
                <w:sz w:val="20"/>
                <w:szCs w:val="20"/>
                <w:lang w:eastAsia="pl-PL"/>
              </w:rPr>
              <w:t>K04,</w:t>
            </w:r>
            <w:r>
              <w:rPr>
                <w:rFonts w:asciiTheme="minorHAnsi" w:eastAsia="Times New Roman" w:hAnsiTheme="minorHAnsi" w:cstheme="minorHAnsi"/>
                <w:sz w:val="20"/>
                <w:szCs w:val="20"/>
                <w:lang w:eastAsia="pl-PL"/>
              </w:rPr>
              <w:t xml:space="preserve">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K09</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Wp</w:t>
            </w:r>
            <w:r>
              <w:rPr>
                <w:rFonts w:eastAsia="Times New Roman" w:cs="Calibri"/>
                <w:sz w:val="20"/>
                <w:szCs w:val="20"/>
                <w:lang w:eastAsia="pl-PL"/>
              </w:rPr>
              <w:t>ł</w:t>
            </w:r>
            <w:r>
              <w:rPr>
                <w:rFonts w:asciiTheme="minorHAnsi" w:eastAsia="Times New Roman" w:hAnsiTheme="minorHAnsi" w:cstheme="minorHAnsi"/>
                <w:sz w:val="20"/>
                <w:szCs w:val="20"/>
                <w:lang w:eastAsia="pl-PL"/>
              </w:rPr>
              <w:t>yw procesu obr</w:t>
            </w:r>
            <w:r>
              <w:rPr>
                <w:rFonts w:eastAsia="Times New Roman" w:cs="Calibri"/>
                <w:sz w:val="20"/>
                <w:szCs w:val="20"/>
                <w:lang w:eastAsia="pl-PL"/>
              </w:rPr>
              <w:t>ó</w:t>
            </w:r>
            <w:r>
              <w:rPr>
                <w:rFonts w:asciiTheme="minorHAnsi" w:eastAsia="Times New Roman" w:hAnsiTheme="minorHAnsi" w:cstheme="minorHAnsi"/>
                <w:sz w:val="20"/>
                <w:szCs w:val="20"/>
                <w:lang w:eastAsia="pl-PL"/>
              </w:rPr>
              <w:t>bki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w spo</w:t>
            </w:r>
            <w:r>
              <w:rPr>
                <w:rFonts w:eastAsia="Times New Roman" w:cs="Calibri"/>
                <w:sz w:val="20"/>
                <w:szCs w:val="20"/>
                <w:lang w:eastAsia="pl-PL"/>
              </w:rPr>
              <w:t>ż</w:t>
            </w:r>
            <w:r>
              <w:rPr>
                <w:rFonts w:asciiTheme="minorHAnsi" w:eastAsia="Times New Roman" w:hAnsiTheme="minorHAnsi" w:cstheme="minorHAnsi"/>
                <w:sz w:val="20"/>
                <w:szCs w:val="20"/>
                <w:lang w:eastAsia="pl-PL"/>
              </w:rPr>
              <w:t>ywczych na ich jako</w:t>
            </w:r>
            <w:r>
              <w:rPr>
                <w:rFonts w:eastAsia="Times New Roman" w:cs="Calibri"/>
                <w:sz w:val="20"/>
                <w:szCs w:val="20"/>
                <w:lang w:eastAsia="pl-PL"/>
              </w:rPr>
              <w:t>ść</w:t>
            </w:r>
            <w:r>
              <w:rPr>
                <w:rFonts w:asciiTheme="minorHAnsi" w:eastAsia="Times New Roman" w:hAnsiTheme="minorHAnsi" w:cstheme="minorHAnsi"/>
                <w:sz w:val="20"/>
                <w:szCs w:val="20"/>
                <w:lang w:eastAsia="pl-PL"/>
              </w:rPr>
              <w:t>. Procesy technologiczne.</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w:t>
            </w:r>
            <w:r>
              <w:rPr>
                <w:rFonts w:eastAsia="Times New Roman" w:cs="Calibri"/>
                <w:sz w:val="20"/>
                <w:szCs w:val="20"/>
                <w:lang w:eastAsia="pl-PL"/>
              </w:rPr>
              <w:t>ą</w:t>
            </w:r>
            <w:r>
              <w:rPr>
                <w:rFonts w:asciiTheme="minorHAnsi" w:eastAsia="Times New Roman" w:hAnsiTheme="minorHAnsi" w:cstheme="minorHAnsi"/>
                <w:sz w:val="20"/>
                <w:szCs w:val="20"/>
                <w:lang w:eastAsia="pl-PL"/>
              </w:rPr>
              <w:t>ki i przetwor</w:t>
            </w:r>
            <w:r>
              <w:rPr>
                <w:rFonts w:eastAsia="Times New Roman" w:cs="Calibri"/>
                <w:sz w:val="20"/>
                <w:szCs w:val="20"/>
                <w:lang w:eastAsia="pl-PL"/>
              </w:rPr>
              <w:t>ó</w:t>
            </w:r>
            <w:r>
              <w:rPr>
                <w:rFonts w:asciiTheme="minorHAnsi" w:eastAsia="Times New Roman" w:hAnsiTheme="minorHAnsi" w:cstheme="minorHAnsi"/>
                <w:sz w:val="20"/>
                <w:szCs w:val="20"/>
                <w:lang w:eastAsia="pl-PL"/>
              </w:rPr>
              <w:t>w.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 xml:space="preserve">ywcza oraz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Wykorzystanie kasz i makaron</w:t>
            </w:r>
            <w:r>
              <w:rPr>
                <w:rFonts w:eastAsia="Times New Roman" w:cs="Calibri"/>
                <w:sz w:val="20"/>
                <w:szCs w:val="20"/>
                <w:lang w:eastAsia="pl-PL"/>
              </w:rPr>
              <w:t>ó</w:t>
            </w:r>
            <w:r>
              <w:rPr>
                <w:rFonts w:asciiTheme="minorHAnsi" w:eastAsia="Times New Roman" w:hAnsiTheme="minorHAnsi" w:cstheme="minorHAnsi"/>
                <w:sz w:val="20"/>
                <w:szCs w:val="20"/>
                <w:lang w:eastAsia="pl-PL"/>
              </w:rPr>
              <w:t>w do produkcji potraw dietetycznych.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 xml:space="preserve">ywcza oraz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warzyw. Podstawowe metody utrwalania warzyw i owoc</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Charakterystyka </w:t>
            </w:r>
            <w:r>
              <w:rPr>
                <w:rFonts w:eastAsia="Times New Roman" w:cs="Calibri"/>
                <w:sz w:val="20"/>
                <w:szCs w:val="20"/>
                <w:lang w:eastAsia="pl-PL"/>
              </w:rPr>
              <w:t>ż</w:t>
            </w:r>
            <w:r>
              <w:rPr>
                <w:rFonts w:asciiTheme="minorHAnsi" w:eastAsia="Times New Roman" w:hAnsiTheme="minorHAnsi" w:cstheme="minorHAnsi"/>
                <w:sz w:val="20"/>
                <w:szCs w:val="20"/>
                <w:lang w:eastAsia="pl-PL"/>
              </w:rPr>
              <w:t>ywieniowa wybranych warzyw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owoc</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Charakterystyka </w:t>
            </w:r>
            <w:r>
              <w:rPr>
                <w:rFonts w:eastAsia="Times New Roman" w:cs="Calibri"/>
                <w:sz w:val="20"/>
                <w:szCs w:val="20"/>
                <w:lang w:eastAsia="pl-PL"/>
              </w:rPr>
              <w:t>ż</w:t>
            </w:r>
            <w:r>
              <w:rPr>
                <w:rFonts w:asciiTheme="minorHAnsi" w:eastAsia="Times New Roman" w:hAnsiTheme="minorHAnsi" w:cstheme="minorHAnsi"/>
                <w:sz w:val="20"/>
                <w:szCs w:val="20"/>
                <w:lang w:eastAsia="pl-PL"/>
              </w:rPr>
              <w:t>ywieniowa i dietetyczna wybranych owoc</w:t>
            </w:r>
            <w:r>
              <w:rPr>
                <w:rFonts w:eastAsia="Times New Roman" w:cs="Calibri"/>
                <w:sz w:val="20"/>
                <w:szCs w:val="20"/>
                <w:lang w:eastAsia="pl-PL"/>
              </w:rPr>
              <w:t>ó</w:t>
            </w:r>
            <w:r>
              <w:rPr>
                <w:rFonts w:asciiTheme="minorHAnsi" w:eastAsia="Times New Roman" w:hAnsiTheme="minorHAnsi" w:cstheme="minorHAnsi"/>
                <w:sz w:val="20"/>
                <w:szCs w:val="20"/>
                <w:lang w:eastAsia="pl-PL"/>
              </w:rPr>
              <w:t>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Budowa,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jaj. Strukturotw</w:t>
            </w:r>
            <w:r>
              <w:rPr>
                <w:rFonts w:eastAsia="Times New Roman" w:cs="Calibri"/>
                <w:sz w:val="20"/>
                <w:szCs w:val="20"/>
                <w:lang w:eastAsia="pl-PL"/>
              </w:rPr>
              <w:t>ó</w:t>
            </w:r>
            <w:r>
              <w:rPr>
                <w:rFonts w:asciiTheme="minorHAnsi" w:eastAsia="Times New Roman" w:hAnsiTheme="minorHAnsi" w:cstheme="minorHAnsi"/>
                <w:sz w:val="20"/>
                <w:szCs w:val="20"/>
                <w:lang w:eastAsia="pl-PL"/>
              </w:rPr>
              <w:t>rcza rola jaj w technologii potraw.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Charakterystyka,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ziemniaków. Budowa chemiczna, właściwości i zastosowanie skrobi. Wykorzystanie ziemniaków i ich przetworów w technologii potraw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cechy fizyczne mleka i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w mlecznych.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mleka i jego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i ich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Charakterystyka g</w:t>
            </w:r>
            <w:r>
              <w:rPr>
                <w:rFonts w:eastAsia="Times New Roman" w:cs="Calibri"/>
                <w:sz w:val="20"/>
                <w:szCs w:val="20"/>
                <w:lang w:eastAsia="pl-PL"/>
              </w:rPr>
              <w:t>łó</w:t>
            </w:r>
            <w:r>
              <w:rPr>
                <w:rFonts w:asciiTheme="minorHAnsi" w:eastAsia="Times New Roman" w:hAnsiTheme="minorHAnsi" w:cstheme="minorHAnsi"/>
                <w:sz w:val="20"/>
                <w:szCs w:val="20"/>
                <w:lang w:eastAsia="pl-PL"/>
              </w:rPr>
              <w:t>wnych surowc</w:t>
            </w:r>
            <w:r>
              <w:rPr>
                <w:rFonts w:eastAsia="Times New Roman" w:cs="Calibri"/>
                <w:sz w:val="20"/>
                <w:szCs w:val="20"/>
                <w:lang w:eastAsia="pl-PL"/>
              </w:rPr>
              <w:t>ó</w:t>
            </w:r>
            <w:r>
              <w:rPr>
                <w:rFonts w:asciiTheme="minorHAnsi" w:eastAsia="Times New Roman" w:hAnsiTheme="minorHAnsi" w:cstheme="minorHAnsi"/>
                <w:sz w:val="20"/>
                <w:szCs w:val="20"/>
                <w:lang w:eastAsia="pl-PL"/>
              </w:rPr>
              <w:t>w olejarskich.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oraz znaczenie t</w:t>
            </w:r>
            <w:r>
              <w:rPr>
                <w:rFonts w:eastAsia="Times New Roman" w:cs="Calibri"/>
                <w:sz w:val="20"/>
                <w:szCs w:val="20"/>
                <w:lang w:eastAsia="pl-PL"/>
              </w:rPr>
              <w:t>ł</w:t>
            </w:r>
            <w:r>
              <w:rPr>
                <w:rFonts w:asciiTheme="minorHAnsi" w:eastAsia="Times New Roman" w:hAnsiTheme="minorHAnsi" w:cstheme="minorHAnsi"/>
                <w:sz w:val="20"/>
                <w:szCs w:val="20"/>
                <w:lang w:eastAsia="pl-PL"/>
              </w:rPr>
              <w:t>uszcz</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jadalnych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lastRenderedPageBreak/>
              <w:t>⦁</w:t>
            </w:r>
            <w:r>
              <w:rPr>
                <w:rFonts w:asciiTheme="minorHAnsi" w:eastAsia="Times New Roman" w:hAnsiTheme="minorHAnsi" w:cstheme="minorHAnsi"/>
                <w:sz w:val="20"/>
                <w:szCs w:val="20"/>
                <w:lang w:eastAsia="pl-PL"/>
              </w:rPr>
              <w:t xml:space="preserve"> Budowa histologiczna i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mi</w:t>
            </w:r>
            <w:r>
              <w:rPr>
                <w:rFonts w:eastAsia="Times New Roman" w:cs="Calibri"/>
                <w:sz w:val="20"/>
                <w:szCs w:val="20"/>
                <w:lang w:eastAsia="pl-PL"/>
              </w:rPr>
              <w:t>ę</w:t>
            </w:r>
            <w:r>
              <w:rPr>
                <w:rFonts w:asciiTheme="minorHAnsi" w:eastAsia="Times New Roman" w:hAnsiTheme="minorHAnsi" w:cstheme="minorHAnsi"/>
                <w:sz w:val="20"/>
                <w:szCs w:val="20"/>
                <w:lang w:eastAsia="pl-PL"/>
              </w:rPr>
              <w:t>sa zwierz</w:t>
            </w:r>
            <w:r>
              <w:rPr>
                <w:rFonts w:eastAsia="Times New Roman" w:cs="Calibri"/>
                <w:sz w:val="20"/>
                <w:szCs w:val="20"/>
                <w:lang w:eastAsia="pl-PL"/>
              </w:rPr>
              <w:t>ą</w:t>
            </w:r>
            <w:r>
              <w:rPr>
                <w:rFonts w:asciiTheme="minorHAnsi" w:eastAsia="Times New Roman" w:hAnsiTheme="minorHAnsi" w:cstheme="minorHAnsi"/>
                <w:sz w:val="20"/>
                <w:szCs w:val="20"/>
                <w:lang w:eastAsia="pl-PL"/>
              </w:rPr>
              <w:t>t rze</w:t>
            </w:r>
            <w:r>
              <w:rPr>
                <w:rFonts w:eastAsia="Times New Roman" w:cs="Calibri"/>
                <w:sz w:val="20"/>
                <w:szCs w:val="20"/>
                <w:lang w:eastAsia="pl-PL"/>
              </w:rPr>
              <w:t>ź</w:t>
            </w:r>
            <w:r>
              <w:rPr>
                <w:rFonts w:asciiTheme="minorHAnsi" w:eastAsia="Times New Roman" w:hAnsiTheme="minorHAnsi" w:cstheme="minorHAnsi"/>
                <w:sz w:val="20"/>
                <w:szCs w:val="20"/>
                <w:lang w:eastAsia="pl-PL"/>
              </w:rPr>
              <w:t>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i przydatno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technologiczna mi</w:t>
            </w:r>
            <w:r>
              <w:rPr>
                <w:rFonts w:eastAsia="Times New Roman" w:cs="Calibri"/>
                <w:sz w:val="20"/>
                <w:szCs w:val="20"/>
                <w:lang w:eastAsia="pl-PL"/>
              </w:rPr>
              <w:t>ę</w:t>
            </w:r>
            <w:r>
              <w:rPr>
                <w:rFonts w:asciiTheme="minorHAnsi" w:eastAsia="Times New Roman" w:hAnsiTheme="minorHAnsi" w:cstheme="minorHAnsi"/>
                <w:sz w:val="20"/>
                <w:szCs w:val="20"/>
                <w:lang w:eastAsia="pl-PL"/>
              </w:rPr>
              <w:t>sa i jego przetworów.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mi</w:t>
            </w:r>
            <w:r>
              <w:rPr>
                <w:rFonts w:eastAsia="Times New Roman" w:cs="Calibri"/>
                <w:sz w:val="20"/>
                <w:szCs w:val="20"/>
                <w:lang w:eastAsia="pl-PL"/>
              </w:rPr>
              <w:t>ę</w:t>
            </w:r>
            <w:r>
              <w:rPr>
                <w:rFonts w:asciiTheme="minorHAnsi" w:eastAsia="Times New Roman" w:hAnsiTheme="minorHAnsi" w:cstheme="minorHAnsi"/>
                <w:sz w:val="20"/>
                <w:szCs w:val="20"/>
                <w:lang w:eastAsia="pl-PL"/>
              </w:rPr>
              <w:t>sa drobiu.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i przydatno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technologiczna mi</w:t>
            </w:r>
            <w:r>
              <w:rPr>
                <w:rFonts w:eastAsia="Times New Roman" w:cs="Calibri"/>
                <w:sz w:val="20"/>
                <w:szCs w:val="20"/>
                <w:lang w:eastAsia="pl-PL"/>
              </w:rPr>
              <w:t>ę</w:t>
            </w:r>
            <w:r>
              <w:rPr>
                <w:rFonts w:asciiTheme="minorHAnsi" w:eastAsia="Times New Roman" w:hAnsiTheme="minorHAnsi" w:cstheme="minorHAnsi"/>
                <w:sz w:val="20"/>
                <w:szCs w:val="20"/>
                <w:lang w:eastAsia="pl-PL"/>
              </w:rPr>
              <w:t>sa drobiu i jego przetwor</w:t>
            </w:r>
            <w:r>
              <w:rPr>
                <w:rFonts w:eastAsia="Times New Roman" w:cs="Calibri"/>
                <w:sz w:val="20"/>
                <w:szCs w:val="20"/>
                <w:lang w:eastAsia="pl-PL"/>
              </w:rPr>
              <w:t>ó</w:t>
            </w:r>
            <w:r>
              <w:rPr>
                <w:rFonts w:asciiTheme="minorHAnsi" w:eastAsia="Times New Roman" w:hAnsiTheme="minorHAnsi" w:cstheme="minorHAnsi"/>
                <w:sz w:val="20"/>
                <w:szCs w:val="20"/>
                <w:lang w:eastAsia="pl-PL"/>
              </w:rPr>
              <w:t>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ryb i owoc</w:t>
            </w:r>
            <w:r>
              <w:rPr>
                <w:rFonts w:eastAsia="Times New Roman" w:cs="Calibri"/>
                <w:sz w:val="20"/>
                <w:szCs w:val="20"/>
                <w:lang w:eastAsia="pl-PL"/>
              </w:rPr>
              <w:t>ó</w:t>
            </w:r>
            <w:r>
              <w:rPr>
                <w:rFonts w:asciiTheme="minorHAnsi" w:eastAsia="Times New Roman" w:hAnsiTheme="minorHAnsi" w:cstheme="minorHAnsi"/>
                <w:sz w:val="20"/>
                <w:szCs w:val="20"/>
                <w:lang w:eastAsia="pl-PL"/>
              </w:rPr>
              <w:t>w morza.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Podstawowe zasady organizacji </w:t>
            </w:r>
            <w:r>
              <w:rPr>
                <w:rFonts w:eastAsia="Times New Roman" w:cs="Calibri"/>
                <w:sz w:val="20"/>
                <w:szCs w:val="20"/>
                <w:lang w:eastAsia="pl-PL"/>
              </w:rPr>
              <w:t>ż</w:t>
            </w:r>
            <w:r>
              <w:rPr>
                <w:rFonts w:asciiTheme="minorHAnsi" w:eastAsia="Times New Roman" w:hAnsiTheme="minorHAnsi" w:cstheme="minorHAnsi"/>
                <w:sz w:val="20"/>
                <w:szCs w:val="20"/>
                <w:lang w:eastAsia="pl-PL"/>
              </w:rPr>
              <w:t>ywienia w zak</w:t>
            </w:r>
            <w:r>
              <w:rPr>
                <w:rFonts w:eastAsia="Times New Roman" w:cs="Calibri"/>
                <w:sz w:val="20"/>
                <w:szCs w:val="20"/>
                <w:lang w:eastAsia="pl-PL"/>
              </w:rPr>
              <w:t>ł</w:t>
            </w:r>
            <w:r>
              <w:rPr>
                <w:rFonts w:asciiTheme="minorHAnsi" w:eastAsia="Times New Roman" w:hAnsiTheme="minorHAnsi" w:cstheme="minorHAnsi"/>
                <w:sz w:val="20"/>
                <w:szCs w:val="20"/>
                <w:lang w:eastAsia="pl-PL"/>
              </w:rPr>
              <w:t xml:space="preserve">adach </w:t>
            </w:r>
            <w:r>
              <w:rPr>
                <w:rFonts w:eastAsia="Times New Roman" w:cs="Calibri"/>
                <w:sz w:val="20"/>
                <w:szCs w:val="20"/>
                <w:lang w:eastAsia="pl-PL"/>
              </w:rPr>
              <w:t>ż</w:t>
            </w:r>
            <w:r>
              <w:rPr>
                <w:rFonts w:asciiTheme="minorHAnsi" w:eastAsia="Times New Roman" w:hAnsiTheme="minorHAnsi" w:cstheme="minorHAnsi"/>
                <w:sz w:val="20"/>
                <w:szCs w:val="20"/>
                <w:lang w:eastAsia="pl-PL"/>
              </w:rPr>
              <w:t>ywienia zbiorowego typu zamkniętego i otwartego.</w:t>
            </w:r>
          </w:p>
          <w:p w:rsidR="00373AC5" w:rsidRDefault="00373AC5">
            <w:pPr>
              <w:autoSpaceDE w:val="0"/>
              <w:autoSpaceDN w:val="0"/>
              <w:adjustRightInd w:val="0"/>
              <w:spacing w:after="0"/>
              <w:rPr>
                <w:rFonts w:eastAsia="Times New Roman" w:cs="Calibri"/>
                <w:bCs/>
                <w:sz w:val="20"/>
                <w:lang w:eastAsia="pl-PL"/>
              </w:rPr>
            </w:pPr>
            <w:r>
              <w:rPr>
                <w:rFonts w:eastAsia="Times New Roman" w:cs="Calibri"/>
                <w:bCs/>
                <w:sz w:val="20"/>
                <w:lang w:eastAsia="pl-PL"/>
              </w:rPr>
              <w:t>Blok 1 - Ćwiczenia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 Ćwiczenie organizacyjne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2. Podstawowe techniki przygotowania i sporządzania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3. Zastosowanie soli, cukru i przypraw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4. Ocena jakościowa mąk i makaronów. Sporządzanie potraw na bazie mąk i makaronów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5. Technologia sporządzania ciast różnymi metodami</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6.Wpływ obróbki technologicznej warzyw i owoców na zmiany jakościowo-ilościowe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7.Strukturotwórcza rola jaj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8.Zastosowanie ziemniaków w technologii potraw. Ocena przydatności odmianowej na przykładzie ziemniaka</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9.Wykorzystanie nasion roślin strączkowych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10.Technologia potraw z mleka i produktów mlecznych</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11.Wypiek pieczywa pszennego, </w:t>
            </w:r>
            <w:proofErr w:type="spellStart"/>
            <w:r>
              <w:rPr>
                <w:rFonts w:eastAsia="Times New Roman" w:cs="Calibri"/>
                <w:sz w:val="20"/>
                <w:lang w:eastAsia="pl-PL"/>
              </w:rPr>
              <w:t>pszenno</w:t>
            </w:r>
            <w:proofErr w:type="spellEnd"/>
            <w:r>
              <w:rPr>
                <w:rFonts w:eastAsia="Times New Roman" w:cs="Calibri"/>
                <w:sz w:val="20"/>
                <w:lang w:eastAsia="pl-PL"/>
              </w:rPr>
              <w:t xml:space="preserve"> - żytniego, żytniego - ocena sensoryczna i odżywcza</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12.Zastosowanie tłuszczów pokarmowych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lastRenderedPageBreak/>
              <w:t>13. Technologia potraw z mięsa drobiu i zwierząt rzeźnych</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14. Technologia potraw z kasz</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15. Technologia potraw z ryb</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 xml:space="preserve">16. Odrabianie ćwiczeń </w:t>
            </w:r>
          </w:p>
          <w:p w:rsidR="00373AC5" w:rsidRDefault="00373AC5">
            <w:pPr>
              <w:autoSpaceDE w:val="0"/>
              <w:autoSpaceDN w:val="0"/>
              <w:adjustRightInd w:val="0"/>
              <w:spacing w:after="0" w:line="240" w:lineRule="auto"/>
              <w:rPr>
                <w:rFonts w:eastAsia="Times New Roman" w:cs="Calibri"/>
                <w:bCs/>
                <w:sz w:val="20"/>
                <w:lang w:eastAsia="pl-PL"/>
              </w:rPr>
            </w:pPr>
            <w:r>
              <w:rPr>
                <w:rFonts w:eastAsia="Times New Roman" w:cs="Calibri"/>
                <w:bCs/>
                <w:sz w:val="20"/>
                <w:lang w:eastAsia="pl-PL"/>
              </w:rPr>
              <w:t>Blok 2 - Ćwiczenia :</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1. Ćwiczenie organizacyjne</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2. Obróbka technologiczna produktów spożywczych a ich jakość</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3. Wpływ przypraw na jakość sensoryczną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4. Wykorzystanie mąk i makaronów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5. Wykorzystanie mąk do sporządzania ciast różnymi metodami</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6.Obróbka  technologiczna warzyw i owoców  -  wpływ na zmiany w produkcie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7. Wykorzystanie jaj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8.Wykorzystanie ziemniaków w technologii potraw.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9.Zastosowanie nasion roślin strączkowych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10.Wykorzystanie mleka i produktów mlecznych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11. Wykorzystanie mąk do wypieku pszennego, </w:t>
            </w:r>
            <w:proofErr w:type="spellStart"/>
            <w:r>
              <w:rPr>
                <w:rFonts w:eastAsia="Times New Roman" w:cs="Calibri"/>
                <w:sz w:val="20"/>
                <w:lang w:eastAsia="pl-PL"/>
              </w:rPr>
              <w:t>pszenno</w:t>
            </w:r>
            <w:proofErr w:type="spellEnd"/>
            <w:r>
              <w:rPr>
                <w:rFonts w:eastAsia="Times New Roman" w:cs="Calibri"/>
                <w:sz w:val="20"/>
                <w:lang w:eastAsia="pl-PL"/>
              </w:rPr>
              <w:t xml:space="preserve"> - żytniego, żytniego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12.Wykorzystanie tłuszczów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13. Wykorzystanie mięsa drobiu i zwierząt rzeźnych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14. Wykorzystanie kasz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15. Wykorzystanie ryb w technologii potraw </w:t>
            </w:r>
          </w:p>
          <w:p w:rsidR="00373AC5" w:rsidRDefault="00373AC5">
            <w:pPr>
              <w:spacing w:after="0" w:line="240" w:lineRule="auto"/>
              <w:rPr>
                <w:rFonts w:eastAsia="Times New Roman" w:cs="Calibri"/>
                <w:sz w:val="20"/>
                <w:lang w:eastAsia="pl-PL"/>
              </w:rPr>
            </w:pPr>
            <w:r>
              <w:rPr>
                <w:rFonts w:eastAsia="Times New Roman" w:cs="Calibri"/>
                <w:sz w:val="20"/>
                <w:lang w:eastAsia="pl-PL"/>
              </w:rPr>
              <w:t>Blok 1.</w:t>
            </w:r>
          </w:p>
          <w:p w:rsidR="00373AC5" w:rsidRDefault="00373AC5">
            <w:pPr>
              <w:spacing w:after="0" w:line="240" w:lineRule="auto"/>
              <w:rPr>
                <w:rFonts w:eastAsia="Times New Roman" w:cs="Calibri"/>
                <w:sz w:val="20"/>
                <w:lang w:eastAsia="pl-PL"/>
              </w:rPr>
            </w:pPr>
            <w:r>
              <w:rPr>
                <w:rFonts w:eastAsia="Times New Roman" w:cs="Calibri"/>
                <w:sz w:val="20"/>
                <w:lang w:eastAsia="pl-PL"/>
              </w:rPr>
              <w:t>Wykłady:</w:t>
            </w:r>
            <w:r>
              <w:rPr>
                <w:rFonts w:eastAsia="Times New Roman" w:cs="Calibri"/>
                <w:sz w:val="20"/>
                <w:lang w:eastAsia="pl-PL"/>
              </w:rPr>
              <w:br/>
              <w:t>Słodycze - rodzaje, skład, wartość odżywcza, zastosowanie w diecie</w:t>
            </w:r>
            <w:r>
              <w:rPr>
                <w:rFonts w:eastAsia="Times New Roman" w:cs="Calibri"/>
                <w:sz w:val="20"/>
                <w:lang w:eastAsia="pl-PL"/>
              </w:rPr>
              <w:br/>
              <w:t xml:space="preserve">Ciasta i ciasteczka – rodzaje, skład, wartość odżywcza, </w:t>
            </w:r>
            <w:r>
              <w:rPr>
                <w:rFonts w:eastAsia="Times New Roman" w:cs="Calibri"/>
                <w:sz w:val="20"/>
                <w:lang w:eastAsia="pl-PL"/>
              </w:rPr>
              <w:lastRenderedPageBreak/>
              <w:t>zastosowanie w diecie</w:t>
            </w:r>
            <w:r>
              <w:rPr>
                <w:rFonts w:eastAsia="Times New Roman" w:cs="Calibri"/>
                <w:sz w:val="20"/>
                <w:lang w:eastAsia="pl-PL"/>
              </w:rPr>
              <w:br/>
              <w:t>Koncentraty i przetwory z warzyw i owoców</w:t>
            </w:r>
            <w:r>
              <w:rPr>
                <w:rFonts w:eastAsia="Times New Roman" w:cs="Calibri"/>
                <w:sz w:val="20"/>
                <w:lang w:eastAsia="pl-PL"/>
              </w:rPr>
              <w:br/>
              <w:t>Mleczne napoje fermentowane - rodzaje, skład, wartość odżywcza, zastosowanie w diecie</w:t>
            </w:r>
            <w:r>
              <w:rPr>
                <w:rFonts w:eastAsia="Times New Roman" w:cs="Calibri"/>
                <w:sz w:val="20"/>
                <w:lang w:eastAsia="pl-PL"/>
              </w:rPr>
              <w:br/>
              <w:t>Suplementy wspomagające redukcję masy ciała</w:t>
            </w:r>
            <w:r>
              <w:rPr>
                <w:rFonts w:eastAsia="Times New Roman" w:cs="Calibri"/>
                <w:sz w:val="20"/>
                <w:lang w:eastAsia="pl-PL"/>
              </w:rPr>
              <w:br/>
              <w:t>Cukier i jego zamienniki – rodzaje, skład, zastosowanie w diecie</w:t>
            </w:r>
            <w:r>
              <w:rPr>
                <w:rFonts w:eastAsia="Times New Roman" w:cs="Calibri"/>
                <w:sz w:val="20"/>
                <w:lang w:eastAsia="pl-PL"/>
              </w:rPr>
              <w:br/>
              <w:t>Rola przypraw i ich wpływ na organizm</w:t>
            </w:r>
            <w:r>
              <w:rPr>
                <w:rFonts w:eastAsia="Times New Roman" w:cs="Calibri"/>
                <w:sz w:val="20"/>
                <w:lang w:eastAsia="pl-PL"/>
              </w:rPr>
              <w:br/>
              <w:t>Diety przemysłowe - skład i zastosowanie</w:t>
            </w:r>
            <w:r>
              <w:rPr>
                <w:rFonts w:eastAsia="Times New Roman" w:cs="Calibri"/>
                <w:sz w:val="20"/>
                <w:lang w:eastAsia="pl-PL"/>
              </w:rPr>
              <w:br/>
              <w:t>Ćwiczenia:</w:t>
            </w:r>
            <w:r>
              <w:rPr>
                <w:rFonts w:eastAsia="Times New Roman" w:cs="Calibri"/>
                <w:sz w:val="20"/>
                <w:lang w:eastAsia="pl-PL"/>
              </w:rPr>
              <w:br/>
              <w:t>1.Przygotowanie oraz ocena żywieniowa ciasteczek dietetycznych</w:t>
            </w:r>
            <w:r>
              <w:rPr>
                <w:rFonts w:eastAsia="Times New Roman" w:cs="Calibri"/>
                <w:sz w:val="20"/>
                <w:lang w:eastAsia="pl-PL"/>
              </w:rPr>
              <w:br/>
              <w:t>2.Technologia produkcji deserów w diecie chorych na cukrzycę</w:t>
            </w:r>
            <w:r>
              <w:rPr>
                <w:rFonts w:eastAsia="Times New Roman" w:cs="Calibri"/>
                <w:sz w:val="20"/>
                <w:lang w:eastAsia="pl-PL"/>
              </w:rPr>
              <w:br/>
              <w:t xml:space="preserve">3.Technologia produkcji dietetycznych potraw z kasz </w:t>
            </w:r>
            <w:r>
              <w:rPr>
                <w:rFonts w:eastAsia="Times New Roman" w:cs="Calibri"/>
                <w:sz w:val="20"/>
                <w:lang w:eastAsia="pl-PL"/>
              </w:rPr>
              <w:br/>
              <w:t>4.Zaplanowanie oraz przygotowanie żywienia w diecie redukującej</w:t>
            </w:r>
            <w:r>
              <w:rPr>
                <w:rFonts w:eastAsia="Times New Roman" w:cs="Calibri"/>
                <w:sz w:val="20"/>
                <w:lang w:eastAsia="pl-PL"/>
              </w:rPr>
              <w:br/>
              <w:t>5.Zaplanowanie oraz przygotowanie żywienia w diecie niskobiałkowej</w:t>
            </w:r>
            <w:r>
              <w:rPr>
                <w:rFonts w:eastAsia="Times New Roman" w:cs="Calibri"/>
                <w:sz w:val="20"/>
                <w:lang w:eastAsia="pl-PL"/>
              </w:rPr>
              <w:br/>
              <w:t>6.Zaplanowanie oraz przygotowanie żywienia w diecie lekkostrawnej</w:t>
            </w:r>
            <w:r>
              <w:rPr>
                <w:rFonts w:eastAsia="Times New Roman" w:cs="Calibri"/>
                <w:sz w:val="20"/>
                <w:lang w:eastAsia="pl-PL"/>
              </w:rPr>
              <w:br/>
              <w:t>7.Zaplanowanie oraz przygotowanie żywienia w diecie wysokoenergetycznej</w:t>
            </w:r>
            <w:r>
              <w:rPr>
                <w:rFonts w:eastAsia="Times New Roman" w:cs="Calibri"/>
                <w:sz w:val="20"/>
                <w:lang w:eastAsia="pl-PL"/>
              </w:rPr>
              <w:br/>
              <w:t>8.Odrabianie ćwiczeń</w:t>
            </w:r>
            <w:r>
              <w:rPr>
                <w:rFonts w:eastAsia="Times New Roman" w:cs="Calibri"/>
                <w:sz w:val="20"/>
                <w:lang w:eastAsia="pl-PL"/>
              </w:rPr>
              <w:br/>
              <w:t xml:space="preserve">Blok 2. </w:t>
            </w:r>
            <w:r>
              <w:rPr>
                <w:rFonts w:eastAsia="Times New Roman" w:cs="Calibri"/>
                <w:sz w:val="20"/>
                <w:lang w:eastAsia="pl-PL"/>
              </w:rPr>
              <w:br/>
              <w:t>Wykłady</w:t>
            </w:r>
            <w:r>
              <w:rPr>
                <w:rFonts w:eastAsia="Times New Roman" w:cs="Calibri"/>
                <w:sz w:val="20"/>
                <w:lang w:eastAsia="pl-PL"/>
              </w:rPr>
              <w:br/>
              <w:t>Wartość odżywcza i wykorzystanie słodyczy w dietach</w:t>
            </w:r>
            <w:r>
              <w:rPr>
                <w:rFonts w:eastAsia="Times New Roman" w:cs="Calibri"/>
                <w:sz w:val="20"/>
                <w:lang w:eastAsia="pl-PL"/>
              </w:rPr>
              <w:br/>
              <w:t>Ciasta i ciasteczka – technologia produkcji i wykorzystanie w diecie</w:t>
            </w:r>
            <w:r>
              <w:rPr>
                <w:rFonts w:eastAsia="Times New Roman" w:cs="Calibri"/>
                <w:sz w:val="20"/>
                <w:lang w:eastAsia="pl-PL"/>
              </w:rPr>
              <w:br/>
              <w:t>Skład i wartość odżywcza koncentratów i przetworów z warzyw i owoców</w:t>
            </w:r>
            <w:r>
              <w:rPr>
                <w:rFonts w:eastAsia="Times New Roman" w:cs="Calibri"/>
                <w:sz w:val="20"/>
                <w:lang w:eastAsia="pl-PL"/>
              </w:rPr>
              <w:br/>
              <w:t>Skład i wartość odżywcza oraz wykorzystanie w diecie mlecznych napojów fermentowanych</w:t>
            </w:r>
            <w:r>
              <w:rPr>
                <w:rFonts w:eastAsia="Times New Roman" w:cs="Calibri"/>
                <w:sz w:val="20"/>
                <w:lang w:eastAsia="pl-PL"/>
              </w:rPr>
              <w:br/>
              <w:t>Przegląd dostępnych na rynku suplementów wspomagających redukcję masy ciała</w:t>
            </w:r>
            <w:r>
              <w:rPr>
                <w:rFonts w:eastAsia="Times New Roman" w:cs="Calibri"/>
                <w:sz w:val="20"/>
                <w:lang w:eastAsia="pl-PL"/>
              </w:rPr>
              <w:br/>
            </w:r>
            <w:r>
              <w:rPr>
                <w:rFonts w:eastAsia="Times New Roman" w:cs="Calibri"/>
                <w:sz w:val="20"/>
                <w:lang w:eastAsia="pl-PL"/>
              </w:rPr>
              <w:lastRenderedPageBreak/>
              <w:t>W jaki sposób zastąpić cukier w diecie. Charakterystyka i zastosowanie wybranych zamienników cukru</w:t>
            </w:r>
            <w:r>
              <w:rPr>
                <w:rFonts w:eastAsia="Times New Roman" w:cs="Calibri"/>
                <w:sz w:val="20"/>
                <w:lang w:eastAsia="pl-PL"/>
              </w:rPr>
              <w:br/>
              <w:t>Przyprawy - ich wykorzystanie i rola w dietach</w:t>
            </w:r>
            <w:r>
              <w:rPr>
                <w:rFonts w:eastAsia="Times New Roman" w:cs="Calibri"/>
                <w:sz w:val="20"/>
                <w:lang w:eastAsia="pl-PL"/>
              </w:rPr>
              <w:br/>
              <w:t>Skład i zastosowanie diet przemysłowych. Przegląd diet przemysłowych dostępnych na rynku</w:t>
            </w:r>
            <w:r>
              <w:rPr>
                <w:rFonts w:eastAsia="Times New Roman" w:cs="Calibri"/>
                <w:sz w:val="20"/>
                <w:lang w:eastAsia="pl-PL"/>
              </w:rPr>
              <w:br/>
              <w:t>Ćwiczenia</w:t>
            </w:r>
            <w:r>
              <w:rPr>
                <w:rFonts w:eastAsia="Times New Roman" w:cs="Calibri"/>
                <w:sz w:val="20"/>
                <w:lang w:eastAsia="pl-PL"/>
              </w:rPr>
              <w:br/>
              <w:t>1. Technologia produkcji potraw w diecie lekkostrawnej oraz ocena ich wartości odżywczej</w:t>
            </w:r>
            <w:r>
              <w:rPr>
                <w:rFonts w:eastAsia="Times New Roman" w:cs="Calibri"/>
                <w:sz w:val="20"/>
                <w:lang w:eastAsia="pl-PL"/>
              </w:rPr>
              <w:br/>
              <w:t>2. Technologia produkcji potraw w diecie niskobiałkowej oraz ocena ich wartości odżywczej</w:t>
            </w:r>
            <w:r>
              <w:rPr>
                <w:rFonts w:eastAsia="Times New Roman" w:cs="Calibri"/>
                <w:sz w:val="20"/>
                <w:lang w:eastAsia="pl-PL"/>
              </w:rPr>
              <w:br/>
              <w:t>3. Technologia produkcji potraw w diecie wysokoenergetycznej oraz ocena ich wartości odżywczej</w:t>
            </w:r>
            <w:r>
              <w:rPr>
                <w:rFonts w:eastAsia="Times New Roman" w:cs="Calibri"/>
                <w:sz w:val="20"/>
                <w:lang w:eastAsia="pl-PL"/>
              </w:rPr>
              <w:br/>
              <w:t>4. Technologia produkcji ciasteczek dietetycznych oraz ocena ich wartości odżywczej</w:t>
            </w:r>
            <w:r>
              <w:rPr>
                <w:rFonts w:eastAsia="Times New Roman" w:cs="Calibri"/>
                <w:sz w:val="20"/>
                <w:lang w:eastAsia="pl-PL"/>
              </w:rPr>
              <w:br/>
              <w:t>5. Technologia produkcji potraw w diecie redukującej oraz ocena ich wartości odżywczej</w:t>
            </w:r>
            <w:r>
              <w:rPr>
                <w:rFonts w:eastAsia="Times New Roman" w:cs="Calibri"/>
                <w:sz w:val="20"/>
                <w:lang w:eastAsia="pl-PL"/>
              </w:rPr>
              <w:br/>
              <w:t>6. Zasady technologii produkcji deserów w diecie chorych na cukrzycę oraz ocena ich wartości odżywczej</w:t>
            </w:r>
            <w:r>
              <w:rPr>
                <w:rFonts w:eastAsia="Times New Roman" w:cs="Calibri"/>
                <w:sz w:val="20"/>
                <w:lang w:eastAsia="pl-PL"/>
              </w:rPr>
              <w:br/>
              <w:t>7. Kasze i potraw z kasz. Wykorzystanie kasz w produkcji potraw w różnych rodzajach diet.</w:t>
            </w:r>
            <w:r>
              <w:rPr>
                <w:rFonts w:eastAsia="Times New Roman" w:cs="Calibri"/>
                <w:sz w:val="20"/>
                <w:lang w:eastAsia="pl-PL"/>
              </w:rPr>
              <w:br/>
              <w:t>8. Zajęcia odróbkowe</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r>
              <w:rPr>
                <w:sz w:val="18"/>
                <w:szCs w:val="18"/>
              </w:rPr>
              <w:t xml:space="preserve"> OSCE/OSPE</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Wprowadzenie do zajęć praktycznych: A. Na oddziale szpitalnym/B. W poradni specjalistycznej</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U05,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U13,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lastRenderedPageBreak/>
              <w:t>Zagadnienie 1. Zbieranie wywiadu żywieniowego oraz zdrowotnego.</w:t>
            </w:r>
            <w:r>
              <w:rPr>
                <w:rFonts w:asciiTheme="minorHAnsi" w:hAnsiTheme="minorHAnsi" w:cstheme="minorHAnsi"/>
                <w:sz w:val="20"/>
                <w:szCs w:val="20"/>
              </w:rPr>
              <w:br/>
              <w:t>Zagadnienie 2. Badanie przedmiotowe.</w:t>
            </w:r>
            <w:r>
              <w:rPr>
                <w:rFonts w:asciiTheme="minorHAnsi" w:hAnsiTheme="minorHAnsi" w:cstheme="minorHAnsi"/>
                <w:sz w:val="20"/>
                <w:szCs w:val="20"/>
              </w:rPr>
              <w:br/>
              <w:t>Zagadnienie 3. Wykorzystanie padania podmiotowego i przedmiotowego w kontekście wybranych jednostek chorobowych.</w:t>
            </w:r>
            <w:r>
              <w:rPr>
                <w:rFonts w:asciiTheme="minorHAnsi" w:hAnsiTheme="minorHAnsi" w:cstheme="minorHAnsi"/>
                <w:sz w:val="20"/>
                <w:szCs w:val="20"/>
              </w:rPr>
              <w:br/>
              <w:t>Zagadnienie 4. Omówienie zebranych wywiadów żywieniowych oraz historii chorób.</w:t>
            </w:r>
            <w:r>
              <w:rPr>
                <w:rFonts w:asciiTheme="minorHAnsi" w:hAnsiTheme="minorHAnsi" w:cstheme="minorHAnsi"/>
                <w:sz w:val="20"/>
                <w:szCs w:val="20"/>
              </w:rPr>
              <w:br/>
              <w:t>Zagadnienie 5. Formułowanie zaleceń terapeutycznych i profilaktycznych.</w:t>
            </w:r>
            <w:r>
              <w:rPr>
                <w:rFonts w:asciiTheme="minorHAnsi" w:hAnsiTheme="minorHAnsi" w:cstheme="minorHAnsi"/>
                <w:sz w:val="20"/>
                <w:szCs w:val="20"/>
              </w:rPr>
              <w:br/>
              <w:t xml:space="preserve">Zagadnienie 6. Program do </w:t>
            </w:r>
            <w:r>
              <w:rPr>
                <w:rFonts w:asciiTheme="minorHAnsi" w:hAnsiTheme="minorHAnsi" w:cstheme="minorHAnsi"/>
                <w:sz w:val="20"/>
                <w:szCs w:val="20"/>
              </w:rPr>
              <w:lastRenderedPageBreak/>
              <w:t>kalkulacji dietetycznych - podstawowe narzędzie w pracy dietetyka.</w:t>
            </w:r>
            <w:r>
              <w:rPr>
                <w:rFonts w:asciiTheme="minorHAnsi" w:hAnsiTheme="minorHAnsi" w:cstheme="minorHAnsi"/>
                <w:sz w:val="20"/>
                <w:szCs w:val="20"/>
              </w:rPr>
              <w:br/>
              <w:t xml:space="preserve">Zagadnienie 7. Praca w </w:t>
            </w:r>
            <w:proofErr w:type="spellStart"/>
            <w:r>
              <w:rPr>
                <w:rFonts w:asciiTheme="minorHAnsi" w:hAnsiTheme="minorHAnsi" w:cstheme="minorHAnsi"/>
                <w:sz w:val="20"/>
                <w:szCs w:val="20"/>
              </w:rPr>
              <w:t>multidyscyplinarnym</w:t>
            </w:r>
            <w:proofErr w:type="spellEnd"/>
            <w:r>
              <w:rPr>
                <w:rFonts w:asciiTheme="minorHAnsi" w:hAnsiTheme="minorHAnsi" w:cstheme="minorHAnsi"/>
                <w:sz w:val="20"/>
                <w:szCs w:val="20"/>
              </w:rPr>
              <w:t xml:space="preserve"> zespole terapeutycznym.</w:t>
            </w:r>
            <w:r>
              <w:rPr>
                <w:rFonts w:asciiTheme="minorHAnsi" w:hAnsiTheme="minorHAnsi" w:cstheme="minorHAnsi"/>
                <w:sz w:val="20"/>
                <w:szCs w:val="20"/>
              </w:rPr>
              <w:br/>
              <w:t>Zagadnienie 8. Pacjent w centrum opieki - porada dietetyczna w dzisiejszym systemie opieki zdrowotnej.</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 mini-CEX, portfolio</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21.</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pStyle w:val="Akapitzlist"/>
              <w:numPr>
                <w:ilvl w:val="0"/>
                <w:numId w:val="22"/>
              </w:num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Podstawy pedagogiki/ B. Podstawy andragogiki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Pedagogika jako dyscyplina naukowa oraz działalność praktyczna, nauczająca.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Pedagogika zdrowia, promocja zdrowia, edukacja zdrowotna jako sfery wspierania jednostek i grup.</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Edukacja zdrowotna, edukacja terapeutyczna, edukacja pacjenta - teoria i praktyka.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Edukacja żywieniowa jako przestrzeń profesjonalnego działania dietetyka.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Nauczanie i uczenie się - zrozumienie procesów i różnicowanie zadań dietetyka w roli nauczającego i klienta/pacjenta w roli uczącego się. </w:t>
            </w:r>
          </w:p>
          <w:p w:rsidR="00373AC5" w:rsidRDefault="00373AC5">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Neurodydaktyka</w:t>
            </w:r>
            <w:proofErr w:type="spellEnd"/>
            <w:r>
              <w:rPr>
                <w:rFonts w:asciiTheme="minorHAnsi" w:hAnsiTheme="minorHAnsi" w:cstheme="minorHAnsi"/>
                <w:sz w:val="20"/>
                <w:szCs w:val="20"/>
              </w:rPr>
              <w:t xml:space="preserve"> w edukacji żywieniowej.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Metody i techniki pracy edukacyjnej: przegląd i ich dobór w konkretnej sytuacji klienta/pacjenta.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Dobór treści w edukacji żywieniowej. Warsztat projektowy scenariusza spotkania edukacyjnego. Jak ewaluować działania w edukacji żywieniowej?</w:t>
            </w:r>
          </w:p>
          <w:p w:rsidR="00373AC5" w:rsidRDefault="00373AC5">
            <w:pPr>
              <w:spacing w:after="0" w:line="240" w:lineRule="auto"/>
              <w:rPr>
                <w:rFonts w:asciiTheme="minorHAnsi" w:hAnsiTheme="minorHAnsi" w:cstheme="minorHAnsi"/>
                <w:sz w:val="20"/>
                <w:szCs w:val="20"/>
              </w:rPr>
            </w:pPr>
            <w:r>
              <w:rPr>
                <w:rFonts w:asciiTheme="minorHAnsi" w:eastAsia="Times New Roman" w:hAnsiTheme="minorHAnsi" w:cstheme="minorHAnsi"/>
                <w:sz w:val="20"/>
                <w:szCs w:val="20"/>
                <w:lang w:eastAsia="pl-PL"/>
              </w:rPr>
              <w:t>Andragogika</w:t>
            </w:r>
            <w:r>
              <w:rPr>
                <w:rFonts w:asciiTheme="minorHAnsi" w:hAnsiTheme="minorHAnsi" w:cstheme="minorHAnsi"/>
                <w:sz w:val="20"/>
                <w:szCs w:val="20"/>
              </w:rPr>
              <w:t xml:space="preserve"> jako subdyscyplina naukowa oraz działalność praktyczna pedagogiki.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Metody i techniki pracy edukacyjnej: przegląd i ich dobór w konkretnej sytuacji klienta/pacjenta na różnych etapach dorosłości.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Dobór treści w edukacji żywieniowej w pracy z osobami dorosłymi.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Modyfikacje programowe i indywidualizacja w pracy z osobami starszymi.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lastRenderedPageBreak/>
              <w:t xml:space="preserve">Jak pracować poradniczo i edukacyjnie z osobami z zaburzeniami poznawczymi?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odpowiedź ustna</w:t>
            </w:r>
          </w:p>
          <w:p w:rsidR="00373AC5" w:rsidRDefault="00373AC5">
            <w:pPr>
              <w:spacing w:after="0" w:line="240" w:lineRule="auto"/>
              <w:jc w:val="cente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bCs/>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A. Komunikacja w dietetyce/ B. Podstawy relacji w </w:t>
            </w:r>
            <w:proofErr w:type="spellStart"/>
            <w:r>
              <w:rPr>
                <w:rFonts w:asciiTheme="minorHAnsi" w:hAnsiTheme="minorHAnsi" w:cstheme="minorHAnsi"/>
                <w:sz w:val="20"/>
                <w:szCs w:val="20"/>
              </w:rPr>
              <w:t>dietoterapii</w:t>
            </w:r>
            <w:proofErr w:type="spellEnd"/>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eastAsia="Times New Roman" w:hAnsiTheme="minorHAnsi" w:cstheme="minorHAnsi"/>
                <w:color w:val="000000"/>
                <w:sz w:val="20"/>
                <w:szCs w:val="20"/>
                <w:lang w:eastAsia="pl-PL"/>
              </w:rPr>
              <w:t> </w:t>
            </w:r>
            <w:r>
              <w:rPr>
                <w:rFonts w:asciiTheme="minorHAnsi" w:hAnsiTheme="minorHAnsi" w:cstheme="minorHAnsi"/>
                <w:color w:val="000000"/>
                <w:sz w:val="20"/>
                <w:szCs w:val="20"/>
                <w:shd w:val="clear" w:color="auto" w:fill="FFFFFF"/>
              </w:rPr>
              <w:t xml:space="preserve">W20,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W25,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W26,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W29,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U06,</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K02,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K06,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K07,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K10</w:t>
            </w:r>
          </w:p>
        </w:tc>
        <w:tc>
          <w:tcPr>
            <w:tcW w:w="2813"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Podstawowe teorie komunikacji, zasady prawidłowego formułowania komunikatów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werbalnych, czynniki sprzyjające i przeszkadzające prawidłowej komunikacji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Komunikacja niewerbalna, rola przekazów emocjonalnych w komunikacji niewerbalnej,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dziedziny </w:t>
            </w:r>
            <w:proofErr w:type="spellStart"/>
            <w:r>
              <w:rPr>
                <w:rFonts w:asciiTheme="minorHAnsi" w:eastAsia="Times New Roman" w:hAnsiTheme="minorHAnsi" w:cstheme="minorHAnsi"/>
                <w:sz w:val="20"/>
                <w:szCs w:val="20"/>
                <w:lang w:eastAsia="pl-PL"/>
              </w:rPr>
              <w:t>zachowań</w:t>
            </w:r>
            <w:proofErr w:type="spellEnd"/>
            <w:r>
              <w:rPr>
                <w:rFonts w:asciiTheme="minorHAnsi" w:eastAsia="Times New Roman" w:hAnsiTheme="minorHAnsi" w:cstheme="minorHAnsi"/>
                <w:sz w:val="20"/>
                <w:szCs w:val="20"/>
                <w:lang w:eastAsia="pl-PL"/>
              </w:rPr>
              <w:t xml:space="preserve"> niewerbalnych</w:t>
            </w:r>
          </w:p>
          <w:p w:rsidR="00373AC5" w:rsidRDefault="00373AC5">
            <w:pPr>
              <w:spacing w:after="0" w:line="240" w:lineRule="auto"/>
              <w:rPr>
                <w:rFonts w:asciiTheme="minorHAnsi" w:eastAsia="Times New Roman" w:hAnsiTheme="minorHAnsi" w:cstheme="minorHAnsi"/>
                <w:sz w:val="20"/>
                <w:szCs w:val="20"/>
                <w:lang w:eastAsia="pl-PL"/>
              </w:rPr>
            </w:pP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odpowiedź ustna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esej</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23.</w:t>
            </w:r>
          </w:p>
        </w:tc>
        <w:tc>
          <w:tcPr>
            <w:tcW w:w="65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Biologiczne podstawy </w:t>
            </w:r>
            <w:proofErr w:type="spellStart"/>
            <w:r>
              <w:rPr>
                <w:rFonts w:asciiTheme="minorHAnsi" w:eastAsia="Times New Roman" w:hAnsiTheme="minorHAnsi" w:cstheme="minorHAnsi"/>
                <w:sz w:val="20"/>
                <w:szCs w:val="20"/>
                <w:lang w:eastAsia="pl-PL"/>
              </w:rPr>
              <w:t>zachowań</w:t>
            </w:r>
            <w:proofErr w:type="spellEnd"/>
          </w:p>
        </w:tc>
        <w:tc>
          <w:tcPr>
            <w:tcW w:w="36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Wprowadzenie do biologii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Biologia komórki jako podstawowej jednostki funkcjonalnej organizmu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Molekularne podstawy funkcjonowania organizmów żywych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Homeostaza i regulacja wewnętrzna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Znaczenie układu dokrewnego w funkcjonowaniu organizmu ludzkiego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Neurologiczne podstawy </w:t>
            </w:r>
            <w:proofErr w:type="spellStart"/>
            <w:r>
              <w:rPr>
                <w:rFonts w:asciiTheme="minorHAnsi" w:eastAsia="Times New Roman" w:hAnsiTheme="minorHAnsi" w:cstheme="minorHAnsi"/>
                <w:sz w:val="20"/>
                <w:szCs w:val="20"/>
                <w:lang w:eastAsia="pl-PL"/>
              </w:rPr>
              <w:t>zachowań</w:t>
            </w:r>
            <w:proofErr w:type="spellEnd"/>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Stres i ból</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Chronobiologia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Biologiczne podłoże wybranych zaburzeń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Środowiskowe czynniki zaburzeń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 Socjobiologia</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24.</w:t>
            </w:r>
          </w:p>
        </w:tc>
        <w:tc>
          <w:tcPr>
            <w:tcW w:w="654"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Historia dietetyki / B. Dietetyka w medycynie i kulturze </w:t>
            </w: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Dieta jako podstawa profilaktyki i terapii w starożytności. Historia wiedzy o fizjologii i patofizjologii trawienia.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Głód i otyłość w ciągu dziejów. Historia wpływu bodźców społecznych i ekonomicznych na zachowania człowieka (w tym zachowania zdrowotne) </w:t>
            </w:r>
            <w:r>
              <w:rPr>
                <w:rFonts w:asciiTheme="minorHAnsi" w:hAnsiTheme="minorHAnsi" w:cstheme="minorHAnsi"/>
                <w:sz w:val="20"/>
                <w:szCs w:val="20"/>
              </w:rPr>
              <w:lastRenderedPageBreak/>
              <w:t xml:space="preserve">jak i całego społeczeństwa. Żywność a ryty religijne i zachowania kulturowe. </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Esej, 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Farmakologia i farmakoterapia </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4 </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Podstawy farmakologii - omówienie podstawowych pojęć farmakologicznych, definicji leku, problemów dot. interakcji lekowych oraz przedstawienie wybranych zagadnień dotyczących farmakokinetyki leków. Poznanie podstawowych mechanizmów działania leków oraz ich wpływu na procesy czynnościowe oraz metaboliczne komórek.</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Omówienie farmakoterapii nadciśnienia tętniczego oraz farmakoterapii w geriatrii.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Przedstawienie zagadnień dotyczących wpływu leków na przewód pokarmowy oraz na wyniki badań laboratoryjnych.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Omówienie problemu niedożywienia szpitalnego.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Przedstawienie charakterystyki suplementów diety.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6: Omówienie znaczenia </w:t>
            </w:r>
            <w:proofErr w:type="spellStart"/>
            <w:r>
              <w:rPr>
                <w:rFonts w:asciiTheme="minorHAnsi" w:eastAsia="Times New Roman" w:hAnsiTheme="minorHAnsi" w:cstheme="minorHAnsi"/>
                <w:sz w:val="20"/>
                <w:szCs w:val="20"/>
                <w:lang w:eastAsia="pl-PL"/>
              </w:rPr>
              <w:t>farmakogenetyki</w:t>
            </w:r>
            <w:proofErr w:type="spellEnd"/>
            <w:r>
              <w:rPr>
                <w:rFonts w:asciiTheme="minorHAnsi" w:eastAsia="Times New Roman" w:hAnsiTheme="minorHAnsi" w:cstheme="minorHAnsi"/>
                <w:sz w:val="20"/>
                <w:szCs w:val="20"/>
                <w:lang w:eastAsia="pl-PL"/>
              </w:rPr>
              <w:t xml:space="preserve"> w farmakoterapii.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 Omówienie wpływu konsumpcji wina na zdrowie.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Przedstawienie definicji leków generycznych i oryginalnych oraz omówienie zagadnienia badań klinicznych, w tym badań </w:t>
            </w:r>
            <w:proofErr w:type="spellStart"/>
            <w:r>
              <w:rPr>
                <w:rFonts w:asciiTheme="minorHAnsi" w:eastAsia="Times New Roman" w:hAnsiTheme="minorHAnsi" w:cstheme="minorHAnsi"/>
                <w:sz w:val="20"/>
                <w:szCs w:val="20"/>
                <w:lang w:eastAsia="pl-PL"/>
              </w:rPr>
              <w:t>biorównoważności</w:t>
            </w:r>
            <w:proofErr w:type="spellEnd"/>
            <w:r>
              <w:rPr>
                <w:rFonts w:asciiTheme="minorHAnsi" w:eastAsia="Times New Roman" w:hAnsiTheme="minorHAnsi" w:cstheme="minorHAnsi"/>
                <w:sz w:val="20"/>
                <w:szCs w:val="20"/>
                <w:lang w:eastAsia="pl-PL"/>
              </w:rPr>
              <w:t xml:space="preserve"> leków.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Omówienie farmakodynamiki grup leków stosowanych w leczeniu wybranych jednostek chorobowych, tj. chorób układu pokarmowego, chorób reumatycznych, cukrzycy, bólu, nadciśnienia tętniczego, astmy oskrzelowej, chorób nowotworowych, depresji.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Omówienie farmakoterapii u pacjentów pediatrycznych, geriatrycznych, u kobiet w okresie ciąży i laktacji, u pacjentów z niewydolnością nerek i wątroby.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 Przedstawienie problemu interakcji leków ze składnikami pożywienia.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5: Omówienie podstaw antybiotykoterapii, </w:t>
            </w:r>
            <w:proofErr w:type="spellStart"/>
            <w:r>
              <w:rPr>
                <w:rFonts w:asciiTheme="minorHAnsi" w:eastAsia="Times New Roman" w:hAnsiTheme="minorHAnsi" w:cstheme="minorHAnsi"/>
                <w:sz w:val="20"/>
                <w:szCs w:val="20"/>
                <w:lang w:eastAsia="pl-PL"/>
              </w:rPr>
              <w:t>chronofarmakoterapii</w:t>
            </w:r>
            <w:proofErr w:type="spellEnd"/>
            <w:r>
              <w:rPr>
                <w:rFonts w:asciiTheme="minorHAnsi" w:eastAsia="Times New Roman" w:hAnsiTheme="minorHAnsi" w:cstheme="minorHAnsi"/>
                <w:sz w:val="20"/>
                <w:szCs w:val="20"/>
                <w:lang w:eastAsia="pl-PL"/>
              </w:rPr>
              <w:t xml:space="preserve"> oraz chemioterapii.</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Parazytologia medyczna/ B. Pasożytnicze choroby odzwierzęce i tropikalne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2  </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Wstęp do parazytologii. Podstawowe pojęcia i definicje, kryteria podziału pasożytów.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Adaptacje pasożytów do rozwoju w organizmie żywiciela.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Zagrożenia zdrowia człowieka pasożytami występującymi w środowisku i produktach spożywczych.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Manipulacje pasożytnicze.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Diagnostyka laboratoryjna w chorobach pasożytniczych.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Wybrane gatunki pierwotniaków,  płazińców, obleńców, nicieni i stawonogów pasożytniczych - rozprzestrzenienie, budowa, cykl rozwojowy, chorobotwórczość i profilaktyka.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Wybrane pasożyty tropikalne - rozprzestrzenienie, budowa, cykl rozwojowy, chorobotwórczość i profilaktyka.</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Higiena i toksykologia </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eastAsia="Times New Roman"/>
                <w:sz w:val="20"/>
                <w:lang w:eastAsia="pl-PL"/>
              </w:rPr>
            </w:pPr>
            <w:r>
              <w:rPr>
                <w:rFonts w:eastAsia="Times New Roman"/>
                <w:sz w:val="20"/>
                <w:lang w:eastAsia="pl-PL"/>
              </w:rPr>
              <w:t>W28,</w:t>
            </w:r>
          </w:p>
          <w:p w:rsidR="00373AC5" w:rsidRDefault="00373AC5">
            <w:pPr>
              <w:spacing w:after="0" w:line="240" w:lineRule="auto"/>
              <w:jc w:val="center"/>
              <w:rPr>
                <w:rFonts w:eastAsia="Times New Roman"/>
                <w:sz w:val="20"/>
                <w:lang w:eastAsia="pl-PL"/>
              </w:rPr>
            </w:pPr>
            <w:r>
              <w:rPr>
                <w:rFonts w:eastAsia="Times New Roman"/>
                <w:sz w:val="20"/>
                <w:lang w:eastAsia="pl-PL"/>
              </w:rPr>
              <w:t>W08,</w:t>
            </w:r>
          </w:p>
          <w:p w:rsidR="00373AC5" w:rsidRDefault="00373AC5">
            <w:pPr>
              <w:spacing w:after="0" w:line="240" w:lineRule="auto"/>
              <w:jc w:val="center"/>
              <w:rPr>
                <w:rFonts w:eastAsia="Times New Roman"/>
                <w:sz w:val="20"/>
                <w:lang w:eastAsia="pl-PL"/>
              </w:rPr>
            </w:pPr>
            <w:r>
              <w:rPr>
                <w:rFonts w:eastAsia="Times New Roman"/>
                <w:sz w:val="20"/>
                <w:lang w:eastAsia="pl-PL"/>
              </w:rPr>
              <w:t>W02,</w:t>
            </w:r>
          </w:p>
          <w:p w:rsidR="00373AC5" w:rsidRDefault="00373AC5">
            <w:pPr>
              <w:spacing w:after="0" w:line="240" w:lineRule="auto"/>
              <w:jc w:val="center"/>
              <w:rPr>
                <w:rFonts w:eastAsia="Times New Roman"/>
                <w:sz w:val="20"/>
                <w:lang w:eastAsia="pl-PL"/>
              </w:rPr>
            </w:pPr>
            <w:r>
              <w:rPr>
                <w:rFonts w:eastAsia="Times New Roman"/>
                <w:sz w:val="20"/>
                <w:lang w:eastAsia="pl-PL"/>
              </w:rPr>
              <w:t>W01,</w:t>
            </w:r>
          </w:p>
          <w:p w:rsidR="00373AC5" w:rsidRDefault="00373AC5">
            <w:pPr>
              <w:spacing w:after="0" w:line="240" w:lineRule="auto"/>
              <w:jc w:val="center"/>
              <w:rPr>
                <w:rFonts w:eastAsia="Times New Roman"/>
                <w:sz w:val="20"/>
                <w:lang w:eastAsia="pl-PL"/>
              </w:rPr>
            </w:pPr>
            <w:r>
              <w:rPr>
                <w:rFonts w:eastAsia="Times New Roman"/>
                <w:sz w:val="20"/>
                <w:lang w:eastAsia="pl-PL"/>
              </w:rPr>
              <w:t>U03,</w:t>
            </w:r>
          </w:p>
          <w:p w:rsidR="00373AC5" w:rsidRDefault="00373AC5">
            <w:pPr>
              <w:spacing w:after="0" w:line="240" w:lineRule="auto"/>
              <w:jc w:val="center"/>
              <w:rPr>
                <w:rFonts w:eastAsia="Times New Roman"/>
                <w:sz w:val="20"/>
                <w:lang w:eastAsia="pl-PL"/>
              </w:rPr>
            </w:pPr>
            <w:r>
              <w:rPr>
                <w:rFonts w:eastAsia="Times New Roman"/>
                <w:sz w:val="20"/>
                <w:lang w:eastAsia="pl-PL"/>
              </w:rPr>
              <w:t>U24,</w:t>
            </w:r>
          </w:p>
          <w:p w:rsidR="00373AC5" w:rsidRDefault="00373AC5">
            <w:pPr>
              <w:spacing w:after="0" w:line="240" w:lineRule="auto"/>
              <w:jc w:val="center"/>
              <w:rPr>
                <w:rFonts w:eastAsia="Times New Roman"/>
                <w:sz w:val="20"/>
                <w:lang w:eastAsia="pl-PL"/>
              </w:rPr>
            </w:pPr>
            <w:r>
              <w:rPr>
                <w:rFonts w:eastAsia="Times New Roman"/>
                <w:sz w:val="20"/>
                <w:lang w:eastAsia="pl-PL"/>
              </w:rPr>
              <w:t>U14,</w:t>
            </w:r>
          </w:p>
          <w:p w:rsidR="00373AC5" w:rsidRDefault="00373AC5">
            <w:pPr>
              <w:spacing w:after="0" w:line="240" w:lineRule="auto"/>
              <w:jc w:val="center"/>
              <w:rPr>
                <w:rFonts w:eastAsia="Times New Roman"/>
                <w:sz w:val="20"/>
                <w:lang w:eastAsia="pl-PL"/>
              </w:rPr>
            </w:pPr>
            <w:r>
              <w:rPr>
                <w:rFonts w:eastAsia="Times New Roman"/>
                <w:sz w:val="20"/>
                <w:lang w:eastAsia="pl-PL"/>
              </w:rPr>
              <w:t>K11,</w:t>
            </w:r>
          </w:p>
          <w:p w:rsidR="00373AC5" w:rsidRDefault="00373AC5">
            <w:pPr>
              <w:spacing w:after="0" w:line="240" w:lineRule="auto"/>
              <w:jc w:val="center"/>
              <w:rPr>
                <w:rFonts w:eastAsia="Times New Roman"/>
                <w:sz w:val="20"/>
                <w:lang w:eastAsia="pl-PL"/>
              </w:rPr>
            </w:pPr>
            <w:r>
              <w:rPr>
                <w:rFonts w:eastAsia="Times New Roman"/>
                <w:sz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lang w:eastAsia="pl-PL"/>
              </w:rPr>
              <w:t>K03,</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Definicja trucizny, rodzaje i przyczyny zatruć; czynniki biologiczne i fizykochemiczne warunkujące toksyczność </w:t>
            </w:r>
            <w:proofErr w:type="spellStart"/>
            <w:r>
              <w:rPr>
                <w:rFonts w:asciiTheme="minorHAnsi" w:eastAsia="Times New Roman" w:hAnsiTheme="minorHAnsi" w:cstheme="minorHAnsi"/>
                <w:sz w:val="20"/>
                <w:szCs w:val="20"/>
                <w:lang w:eastAsia="pl-PL"/>
              </w:rPr>
              <w:t>ksenobiotyków</w:t>
            </w:r>
            <w:proofErr w:type="spellEnd"/>
            <w:r>
              <w:rPr>
                <w:rFonts w:asciiTheme="minorHAnsi" w:eastAsia="Times New Roman" w:hAnsiTheme="minorHAnsi" w:cstheme="minorHAnsi"/>
                <w:sz w:val="20"/>
                <w:szCs w:val="20"/>
                <w:lang w:eastAsia="pl-PL"/>
              </w:rPr>
              <w:t xml:space="preserve">; drogi wchłaniania i wydalania; reakcje biotransformacji; Mechanizm toksycznego działania metali i pestycydów. Interakcje </w:t>
            </w:r>
            <w:proofErr w:type="spellStart"/>
            <w:r>
              <w:rPr>
                <w:rFonts w:asciiTheme="minorHAnsi" w:eastAsia="Times New Roman" w:hAnsiTheme="minorHAnsi" w:cstheme="minorHAnsi"/>
                <w:sz w:val="20"/>
                <w:szCs w:val="20"/>
                <w:lang w:eastAsia="pl-PL"/>
              </w:rPr>
              <w:t>ksenobiotyków</w:t>
            </w:r>
            <w:proofErr w:type="spellEnd"/>
            <w:r>
              <w:rPr>
                <w:rFonts w:asciiTheme="minorHAnsi" w:eastAsia="Times New Roman" w:hAnsiTheme="minorHAnsi" w:cstheme="minorHAnsi"/>
                <w:sz w:val="20"/>
                <w:szCs w:val="20"/>
                <w:lang w:eastAsia="pl-PL"/>
              </w:rPr>
              <w:t>. Leczenie zatruć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Biomarkery</w:t>
            </w:r>
            <w:proofErr w:type="spellEnd"/>
            <w:r>
              <w:rPr>
                <w:rFonts w:asciiTheme="minorHAnsi" w:eastAsia="Times New Roman" w:hAnsiTheme="minorHAnsi" w:cstheme="minorHAnsi"/>
                <w:sz w:val="20"/>
                <w:szCs w:val="20"/>
                <w:lang w:eastAsia="pl-PL"/>
              </w:rPr>
              <w:t xml:space="preserve"> w zatruciach rozpuszczalnikami organicznymi oraz związkami </w:t>
            </w:r>
            <w:proofErr w:type="spellStart"/>
            <w:r>
              <w:rPr>
                <w:rFonts w:asciiTheme="minorHAnsi" w:eastAsia="Times New Roman" w:hAnsiTheme="minorHAnsi" w:cstheme="minorHAnsi"/>
                <w:sz w:val="20"/>
                <w:szCs w:val="20"/>
                <w:lang w:eastAsia="pl-PL"/>
              </w:rPr>
              <w:t>methemoglobinotwórczymi</w:t>
            </w:r>
            <w:proofErr w:type="spellEnd"/>
            <w:r>
              <w:rPr>
                <w:rFonts w:asciiTheme="minorHAnsi" w:eastAsia="Times New Roman" w:hAnsiTheme="minorHAnsi" w:cstheme="minorHAnsi"/>
                <w:sz w:val="20"/>
                <w:szCs w:val="20"/>
                <w:lang w:eastAsia="pl-PL"/>
              </w:rPr>
              <w:t>. Ocena narażenia na CO.</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28.</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Kliniczny zarys chorób </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 +2</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2813"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Cukrzyca: epidemiologia, rozpoznanie, typy cukrzycy, zaburzenia wydzielania </w:t>
            </w:r>
            <w:r>
              <w:rPr>
                <w:rFonts w:asciiTheme="minorHAnsi" w:hAnsiTheme="minorHAnsi" w:cstheme="minorHAnsi"/>
                <w:sz w:val="20"/>
                <w:szCs w:val="20"/>
              </w:rPr>
              <w:lastRenderedPageBreak/>
              <w:t xml:space="preserve">insuliny, działanie insuliny; obraz kliniczny poszczególnych typów cukrzycy. Leczenie cukrzycy. Ocena skuteczności leczenia. Powikłania cukrzycy ostre i przewlekłe: śpiączki cukrzycowe, makro i </w:t>
            </w:r>
            <w:proofErr w:type="spellStart"/>
            <w:r>
              <w:rPr>
                <w:rFonts w:asciiTheme="minorHAnsi" w:hAnsiTheme="minorHAnsi" w:cstheme="minorHAnsi"/>
                <w:sz w:val="20"/>
                <w:szCs w:val="20"/>
              </w:rPr>
              <w:t>mikroangiopatie</w:t>
            </w:r>
            <w:proofErr w:type="spellEnd"/>
            <w:r>
              <w:rPr>
                <w:rFonts w:asciiTheme="minorHAnsi" w:hAnsiTheme="minorHAnsi" w:cstheme="minorHAnsi"/>
                <w:sz w:val="20"/>
                <w:szCs w:val="20"/>
              </w:rPr>
              <w:t>, neuropatia.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układu krążenia: epidemiologia, obraz kliniczny, zasady leczenia (w tym leczenie niefarmakologiczne): niewydolność serca, choroba niedokrwienna i zawał serca, zaburzenia rytmu serca, nadciśnienie tętnicze, żylna choroba zakrzepowo zatorowa, zatorowość płucna, wady zastawkowe ze szczególnym uwzględnieniem leczenia przeciwkrzepliwego, jego monitorowania i interakcji między antagonistami </w:t>
            </w:r>
            <w:proofErr w:type="spellStart"/>
            <w:r>
              <w:rPr>
                <w:rFonts w:asciiTheme="minorHAnsi" w:hAnsiTheme="minorHAnsi" w:cstheme="minorHAnsi"/>
                <w:sz w:val="20"/>
                <w:szCs w:val="20"/>
              </w:rPr>
              <w:t>wit</w:t>
            </w:r>
            <w:proofErr w:type="spellEnd"/>
            <w:r>
              <w:rPr>
                <w:rFonts w:asciiTheme="minorHAnsi" w:hAnsiTheme="minorHAnsi" w:cstheme="minorHAnsi"/>
                <w:sz w:val="20"/>
                <w:szCs w:val="20"/>
              </w:rPr>
              <w:t>. K a pożywieniem; miażdżyca, następstwa, podstawy postępowania w tym leczenie niefarmakologiczne. Leczenie dietetyczne w chorobach układu krążenia, w tym dieta DASH i dieta śródziemnomorska.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Rola edukacji i samokontroli w leczeniu chorób przewlekłych; metody i programy edukacji oraz zasady ich oceny.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układu oddechowego: epidemiologia, obraz kliniczny, podstawy diagnostyki i postępowania: zapalenia oskrzeli, płuc i opłucnej, rak płuca, gruźlica, zespół bezdechu sennego, astma/POCHP, mukowiscydoza, przewlekła niewydolność oddechowa.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tarczycy i nadnerczy: epidemiologia, obraz kliniczny, wpływ na stan odżywienia, podstawy diagnostyki i postępowania.</w:t>
            </w:r>
          </w:p>
          <w:p w:rsidR="00373AC5" w:rsidRDefault="00373AC5">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Dyslipidemie</w:t>
            </w:r>
            <w:proofErr w:type="spellEnd"/>
            <w:r>
              <w:rPr>
                <w:rFonts w:asciiTheme="minorHAnsi" w:hAnsiTheme="minorHAnsi" w:cstheme="minorHAnsi"/>
                <w:sz w:val="20"/>
                <w:szCs w:val="20"/>
              </w:rPr>
              <w:t>: metabolizm tłuszczów, epidemiologia, podstawy postępowania: leczenie farmakologiczne i niefarmakologiczne. Porfirie: epidemiologia, obraz kliniczny, podstawy postępowania.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Choroby przewodu pokarmowego: epidemiologia, obraz kliniczny, wpływ na stan odżywienia, podstawy rozpoznawania i postępowania, w tym leczenie niefarmakologiczne: choroby przełyku, żołądka, jelita cienkiego i grubego. Nowotwory przewodu pokarmowego; choroby wątroby i dróg żółciowych; leczenie dietetyczne w zależności od zaawansowania choroby; choroby trzustki. Zasady żywienia w chorobach przewodu pokarmowego.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nerek i dróg moczowych: epidemiologia, etiologia, obraz kliniczny, podstawy rozpoznawania i terapii z uwzględnieniem leczenia niefarmakologicznego: kamica nerkowa, kłębuszkowe i </w:t>
            </w:r>
            <w:proofErr w:type="spellStart"/>
            <w:r>
              <w:rPr>
                <w:rFonts w:asciiTheme="minorHAnsi" w:hAnsiTheme="minorHAnsi" w:cstheme="minorHAnsi"/>
                <w:sz w:val="20"/>
                <w:szCs w:val="20"/>
              </w:rPr>
              <w:t>odmiedniczkowe</w:t>
            </w:r>
            <w:proofErr w:type="spellEnd"/>
            <w:r>
              <w:rPr>
                <w:rFonts w:asciiTheme="minorHAnsi" w:hAnsiTheme="minorHAnsi" w:cstheme="minorHAnsi"/>
                <w:sz w:val="20"/>
                <w:szCs w:val="20"/>
              </w:rPr>
              <w:t xml:space="preserve"> zapalenia nerek, ostra i przewlekła niewydolność nerek, nowotwory.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reumatyczne: epidemiologia, etiologia, obraz kliniczny, podstawy rozpoznawania i leczenia. Kolagenozy, dna moczanowa, choroba zwyrodnieniowa stawów.</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Choroba nowotworowa: epidemiologia, etiologia, obraz kliniczny, wpływ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Profilaktyka chorób nowotworowych, w tym </w:t>
            </w:r>
            <w:proofErr w:type="spellStart"/>
            <w:r>
              <w:rPr>
                <w:rFonts w:asciiTheme="minorHAnsi" w:hAnsiTheme="minorHAnsi" w:cstheme="minorHAnsi"/>
                <w:sz w:val="20"/>
                <w:szCs w:val="20"/>
              </w:rPr>
              <w:t>chemoprewencja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fitozwiązki</w:t>
            </w:r>
            <w:proofErr w:type="spellEnd"/>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Leczenie dietetyczne u pacjentów onkologicznych. Dieta w okresie chemioterapii. Zapobieganie biegunkom i wymiotom.</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dnie moczanowej (podagrze) i wybranych chorobach reumatycznych.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chorobach trzustki.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poszczególnych typach kamicy nerkowej i przewlekłej niewydolności nerek w zależności od zaawansowania choroby.</w:t>
            </w:r>
          </w:p>
          <w:p w:rsidR="00373AC5" w:rsidRDefault="00373AC5">
            <w:pPr>
              <w:spacing w:after="0" w:line="240" w:lineRule="auto"/>
              <w:rPr>
                <w:rFonts w:asciiTheme="minorHAnsi" w:hAnsiTheme="minorHAnsi" w:cstheme="minorHAnsi"/>
                <w:sz w:val="20"/>
                <w:szCs w:val="20"/>
              </w:rPr>
            </w:pP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Profilaktyka chorób cywilizacyjnych poprzez stosowanie manipulacji dietetycznych.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Ostre i przewlekłe choroby zapalne – epidemiologia, etiologia, objawy kliniczne, zasady leczenia. Wpływ chorób zapalnych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pasożytnicze. Najczęstsze choroby pasożytnicze: tasiemczyce, włośnica, zespół wędrującej larwy trzewnej (</w:t>
            </w:r>
            <w:proofErr w:type="spellStart"/>
            <w:r>
              <w:rPr>
                <w:rFonts w:asciiTheme="minorHAnsi" w:hAnsiTheme="minorHAnsi" w:cstheme="minorHAnsi"/>
                <w:sz w:val="20"/>
                <w:szCs w:val="20"/>
              </w:rPr>
              <w:t>toksokaroza</w:t>
            </w:r>
            <w:proofErr w:type="spellEnd"/>
            <w:r>
              <w:rPr>
                <w:rFonts w:asciiTheme="minorHAnsi" w:hAnsiTheme="minorHAnsi" w:cstheme="minorHAnsi"/>
                <w:sz w:val="20"/>
                <w:szCs w:val="20"/>
              </w:rPr>
              <w:t xml:space="preserve">), owsica, </w:t>
            </w:r>
            <w:proofErr w:type="spellStart"/>
            <w:r>
              <w:rPr>
                <w:rFonts w:asciiTheme="minorHAnsi" w:hAnsiTheme="minorHAnsi" w:cstheme="minorHAnsi"/>
                <w:sz w:val="20"/>
                <w:szCs w:val="20"/>
              </w:rPr>
              <w:t>schistosoma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bilihercjoza</w:t>
            </w:r>
            <w:proofErr w:type="spellEnd"/>
            <w:r>
              <w:rPr>
                <w:rFonts w:asciiTheme="minorHAnsi" w:hAnsiTheme="minorHAnsi" w:cstheme="minorHAnsi"/>
                <w:sz w:val="20"/>
                <w:szCs w:val="20"/>
              </w:rPr>
              <w:t>). Epidemiologia, zasady rozpoznawania i leczenia z uwzględnieniem postępowania dietetycznego. Choroby tropikalne.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Zapalenie nerek. Znaczenie nerek w gospodarce wodno-elektrolitowej. Zasady leczenia nerek z uwzględnieniem leczenia dietetycznego.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układu dokrewnego. Choroby przytarczyc, nadnerczy. Zespół </w:t>
            </w:r>
            <w:proofErr w:type="spellStart"/>
            <w:r>
              <w:rPr>
                <w:rFonts w:asciiTheme="minorHAnsi" w:hAnsiTheme="minorHAnsi" w:cstheme="minorHAnsi"/>
                <w:sz w:val="20"/>
                <w:szCs w:val="20"/>
              </w:rPr>
              <w:t>policystycznych</w:t>
            </w:r>
            <w:proofErr w:type="spellEnd"/>
            <w:r>
              <w:rPr>
                <w:rFonts w:asciiTheme="minorHAnsi" w:hAnsiTheme="minorHAnsi" w:cstheme="minorHAnsi"/>
                <w:sz w:val="20"/>
                <w:szCs w:val="20"/>
              </w:rPr>
              <w:t xml:space="preserve"> jajników.</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Niedrożności jelitowe. Niedrożność mechaniczna – przyczyny, objawy, rozpoznanie, leczenie. Przewlekłe niedrożności jelitowe i ich wpływ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Zakaźne zatrucia pokarmowe. Zakażenia </w:t>
            </w:r>
            <w:proofErr w:type="spellStart"/>
            <w:r>
              <w:rPr>
                <w:rFonts w:asciiTheme="minorHAnsi" w:hAnsiTheme="minorHAnsi" w:cstheme="minorHAnsi"/>
                <w:sz w:val="20"/>
                <w:szCs w:val="20"/>
              </w:rPr>
              <w:t>Campylobacter</w:t>
            </w:r>
            <w:proofErr w:type="spellEnd"/>
            <w:r>
              <w:rPr>
                <w:rFonts w:asciiTheme="minorHAnsi" w:hAnsiTheme="minorHAnsi" w:cstheme="minorHAnsi"/>
                <w:sz w:val="20"/>
                <w:szCs w:val="20"/>
              </w:rPr>
              <w:t xml:space="preserve">, pałeczką okrężnicy, zakażenia </w:t>
            </w:r>
            <w:proofErr w:type="spellStart"/>
            <w:r>
              <w:rPr>
                <w:rFonts w:asciiTheme="minorHAnsi" w:hAnsiTheme="minorHAnsi" w:cstheme="minorHAnsi"/>
                <w:sz w:val="20"/>
                <w:szCs w:val="20"/>
              </w:rPr>
              <w:t>bacteroides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jerseniozy</w:t>
            </w:r>
            <w:proofErr w:type="spellEnd"/>
            <w:r>
              <w:rPr>
                <w:rFonts w:asciiTheme="minorHAnsi" w:hAnsiTheme="minorHAnsi" w:cstheme="minorHAnsi"/>
                <w:sz w:val="20"/>
                <w:szCs w:val="20"/>
              </w:rPr>
              <w:t>, bruceloza, tularemia, zatrucie jadem kiełbasianym.</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Niedokrwistość. Podział, przyczyny, następstwa, rozpoznanie. Niedokrwistość jako objaw innych chorób. Zasady żywieniowe w zależności od rodzaju niedokrwistości i w niedoborach witaminowych.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Zasady postępowania z ludźmi w podeszłym wieku. Odrębności fizjologiczne i kliniczne wieku podeszłego. Wiek kalendarzowy, wiek biologiczny. Geriatryczne </w:t>
            </w:r>
            <w:r>
              <w:rPr>
                <w:rFonts w:asciiTheme="minorHAnsi" w:hAnsiTheme="minorHAnsi" w:cstheme="minorHAnsi"/>
                <w:sz w:val="20"/>
                <w:szCs w:val="20"/>
              </w:rPr>
              <w:lastRenderedPageBreak/>
              <w:t>zespoły objawowe (nietrzymanie moczu i stolca, ograniczenie czynności ruchowej, splatanie psychiczne). Zmiany w przewodzie pokarmowym i ich wpływ na trawienie i wchłanianie składników odżywczych. Zalecenia żywieniowe.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Zapalenie jelit po chemioterapii i radioterapii: objawy, rozpoznanie i leczenie z uwzględnieniem leczenia dietetycznego i żywieniowego. Próby prowokacyjne i diety eliminacyjne w diagnostyce nietolerancji pokarmowych.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chorych na cukrzycę</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Głodówka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Bulimia i anoreksja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Diagnostyka niedoboru masy ciała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Żywienie kobiet ciężarnych i karmiących – otyłość w ciąży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trzustki i zalecenia dietetyczne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Nadciśnienie tętnicze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Zalecenia dietetyczne w zespołach zaburzeń wchłaniania (choroby </w:t>
            </w:r>
            <w:proofErr w:type="spellStart"/>
            <w:r>
              <w:rPr>
                <w:rFonts w:asciiTheme="minorHAnsi" w:hAnsiTheme="minorHAnsi" w:cstheme="minorHAnsi"/>
                <w:sz w:val="20"/>
                <w:szCs w:val="20"/>
              </w:rPr>
              <w:t>glutenozależne</w:t>
            </w:r>
            <w:proofErr w:type="spellEnd"/>
            <w:r>
              <w:rPr>
                <w:rFonts w:asciiTheme="minorHAnsi" w:hAnsiTheme="minorHAnsi" w:cstheme="minorHAnsi"/>
                <w:sz w:val="20"/>
                <w:szCs w:val="20"/>
              </w:rPr>
              <w:t>, nietolerancja laktozy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niewydolności serca, zalecenia żywieniowe u osób w trakcie terapii przeciwkrzepliwej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Zalety i wady diety wegetariańskiej.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Profilaktyka chorób cywilizacyjnych poprzez stosowanie manipulacji dietetycznych.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Ostre i przewlekłe choroby zapalne –epidemiologia, etiologia, objawy kliniczne, zasady leczenia.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Wpływ chorób zapalnych na stan </w:t>
            </w:r>
            <w:proofErr w:type="spellStart"/>
            <w:r>
              <w:rPr>
                <w:rFonts w:asciiTheme="minorHAnsi" w:hAnsiTheme="minorHAnsi" w:cstheme="minorHAnsi"/>
                <w:sz w:val="20"/>
                <w:szCs w:val="20"/>
              </w:rPr>
              <w:t>odżywienia.Ostre</w:t>
            </w:r>
            <w:proofErr w:type="spellEnd"/>
            <w:r>
              <w:rPr>
                <w:rFonts w:asciiTheme="minorHAnsi" w:hAnsiTheme="minorHAnsi" w:cstheme="minorHAnsi"/>
                <w:sz w:val="20"/>
                <w:szCs w:val="20"/>
              </w:rPr>
              <w:t xml:space="preserve"> choroby wirusowe. Choroby gorączkowe, ostre wirusowe zapalenie wątroby –epidemiologia, objawy, zasady rozpoznawania i leczenia z uwzględnieniem postępowania </w:t>
            </w:r>
            <w:proofErr w:type="spellStart"/>
            <w:r>
              <w:rPr>
                <w:rFonts w:asciiTheme="minorHAnsi" w:hAnsiTheme="minorHAnsi" w:cstheme="minorHAnsi"/>
                <w:sz w:val="20"/>
                <w:szCs w:val="20"/>
              </w:rPr>
              <w:t>dietetycznego.Ostre</w:t>
            </w:r>
            <w:proofErr w:type="spellEnd"/>
            <w:r>
              <w:rPr>
                <w:rFonts w:asciiTheme="minorHAnsi" w:hAnsiTheme="minorHAnsi" w:cstheme="minorHAnsi"/>
                <w:sz w:val="20"/>
                <w:szCs w:val="20"/>
              </w:rPr>
              <w:t xml:space="preserve"> choroby bakteryjne. Najczęstsze </w:t>
            </w:r>
            <w:r>
              <w:rPr>
                <w:rFonts w:asciiTheme="minorHAnsi" w:hAnsiTheme="minorHAnsi" w:cstheme="minorHAnsi"/>
                <w:sz w:val="20"/>
                <w:szCs w:val="20"/>
              </w:rPr>
              <w:lastRenderedPageBreak/>
              <w:t>choroby bakteryjne układu trawiennego w tym biegunki i zespoły czerwonkowe, dur brzuszny i dury rzekome –epidemiologia, objawy, zasady rozpoznawania i leczenia z uwzględnieniem postępowania dietetycznego.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Zalety i wady diety wegetariańskiej;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Porównanie diety śródziemnomorskiej i diety Kwaśniewskiego.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Przegląd zaleceń dietetycznych w przewlekłych chorobach wątroby.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Wrodzone i nabyte niedobory odporności.</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 (1 rok):</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Mini-CEX</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Portfolio</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 (2 rok)</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29.</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Żywienie człowieka chorego </w:t>
            </w:r>
          </w:p>
          <w:p w:rsidR="00373AC5" w:rsidRDefault="00373AC5">
            <w:pPr>
              <w:spacing w:after="0" w:line="240" w:lineRule="auto"/>
              <w:jc w:val="center"/>
              <w:rPr>
                <w:rFonts w:asciiTheme="minorHAnsi" w:hAnsiTheme="minorHAnsi" w:cstheme="minorHAnsi"/>
                <w:sz w:val="20"/>
                <w:szCs w:val="2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U18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p>
          <w:p w:rsidR="00373AC5" w:rsidRDefault="00373AC5">
            <w:pPr>
              <w:spacing w:after="0" w:line="240" w:lineRule="auto"/>
              <w:jc w:val="center"/>
              <w:rPr>
                <w:rFonts w:asciiTheme="minorHAnsi" w:hAnsiTheme="minorHAnsi" w:cstheme="minorHAnsi"/>
                <w:sz w:val="20"/>
                <w:szCs w:val="20"/>
              </w:rPr>
            </w:pPr>
          </w:p>
        </w:tc>
        <w:tc>
          <w:tcPr>
            <w:tcW w:w="28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Otyłość, zespół metaboliczny, cukrzyca,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wybrane choroby przewodu pokarmowego, wybrane choroby metaboliczne- omówienie jednostek chorobowych: epidemiologia, etiopatogeneza, rozpoznawanie, leczenie. Zalecenia żywieniowe dla osób z chorobą trzewną. Objawy kliniczne, rozpoznanie oraz monitorowanie celiakii. Żywienie w chorobach nowotworowych - w okresie remisji, żywienie w zapobieganiu chorobom nowotworowym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Otyłość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Nadciśnienie tętnicze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Cukrzyca typu 1 i 2 (indeks </w:t>
            </w:r>
            <w:proofErr w:type="spellStart"/>
            <w:r>
              <w:rPr>
                <w:rFonts w:asciiTheme="minorHAnsi" w:eastAsia="Times New Roman" w:hAnsiTheme="minorHAnsi" w:cstheme="minorHAnsi"/>
                <w:sz w:val="20"/>
                <w:szCs w:val="20"/>
                <w:lang w:eastAsia="pl-PL"/>
              </w:rPr>
              <w:t>glikemiczny</w:t>
            </w:r>
            <w:proofErr w:type="spellEnd"/>
            <w:r>
              <w:rPr>
                <w:rFonts w:asciiTheme="minorHAnsi" w:eastAsia="Times New Roman" w:hAnsiTheme="minorHAnsi" w:cstheme="minorHAnsi"/>
                <w:sz w:val="20"/>
                <w:szCs w:val="20"/>
                <w:lang w:eastAsia="pl-PL"/>
              </w:rPr>
              <w:t>, wymienniki węglowodanowe, intensywna insulinoterapia)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xml:space="preserve">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wybranych chorobach przewodu </w:t>
            </w:r>
            <w:r>
              <w:rPr>
                <w:rFonts w:asciiTheme="minorHAnsi" w:eastAsia="Times New Roman" w:hAnsiTheme="minorHAnsi" w:cstheme="minorHAnsi"/>
                <w:sz w:val="20"/>
                <w:szCs w:val="20"/>
                <w:lang w:eastAsia="pl-PL"/>
              </w:rPr>
              <w:lastRenderedPageBreak/>
              <w:t>pokarmowego (w tym choroby nowotworowe) i w wybranych chorobach metabolicznych - sporządzenie zaleceń dietetycznych dla pacjenta z daną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Układanie diet dla pacjentów hospitalizowanych w jednostce klinicznej.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Choroby tarczycy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Choroby trzustki (OZT, PZT, rak)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Niedokrwistości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wybranych chorobach reumatologicznych (osteoporoza, </w:t>
            </w:r>
            <w:proofErr w:type="spellStart"/>
            <w:r>
              <w:rPr>
                <w:rFonts w:asciiTheme="minorHAnsi" w:eastAsia="Times New Roman" w:hAnsiTheme="minorHAnsi" w:cstheme="minorHAnsi"/>
                <w:sz w:val="20"/>
                <w:szCs w:val="20"/>
                <w:lang w:eastAsia="pl-PL"/>
              </w:rPr>
              <w:t>rzs</w:t>
            </w:r>
            <w:proofErr w:type="spellEnd"/>
            <w:r>
              <w:rPr>
                <w:rFonts w:asciiTheme="minorHAnsi" w:eastAsia="Times New Roman" w:hAnsiTheme="minorHAnsi" w:cstheme="minorHAnsi"/>
                <w:sz w:val="20"/>
                <w:szCs w:val="20"/>
                <w:lang w:eastAsia="pl-PL"/>
              </w:rPr>
              <w:t>) - omówienie jednostek chorobowych,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Żywienie w: chorobach górnego odcinka przewodu pokarmowego: chorobie </w:t>
            </w:r>
            <w:proofErr w:type="spellStart"/>
            <w:r>
              <w:rPr>
                <w:rFonts w:asciiTheme="minorHAnsi" w:eastAsia="Times New Roman" w:hAnsiTheme="minorHAnsi" w:cstheme="minorHAnsi"/>
                <w:sz w:val="20"/>
                <w:szCs w:val="20"/>
                <w:lang w:eastAsia="pl-PL"/>
              </w:rPr>
              <w:t>refluksowej</w:t>
            </w:r>
            <w:proofErr w:type="spellEnd"/>
            <w:r>
              <w:rPr>
                <w:rFonts w:asciiTheme="minorHAnsi" w:eastAsia="Times New Roman" w:hAnsiTheme="minorHAnsi" w:cstheme="minorHAnsi"/>
                <w:sz w:val="20"/>
                <w:szCs w:val="20"/>
                <w:lang w:eastAsia="pl-PL"/>
              </w:rPr>
              <w:t xml:space="preserve">; ostrym i przewlekłym nieżycie żołądka; chorobie wrzodowej żołądka i dwunastnicy; chorobach dolnego odcinka przewodu pokarmowego: zespół jelita drażliwego; choroba </w:t>
            </w:r>
            <w:proofErr w:type="spellStart"/>
            <w:r>
              <w:rPr>
                <w:rFonts w:asciiTheme="minorHAnsi" w:eastAsia="Times New Roman" w:hAnsiTheme="minorHAnsi" w:cstheme="minorHAnsi"/>
                <w:sz w:val="20"/>
                <w:szCs w:val="20"/>
                <w:lang w:eastAsia="pl-PL"/>
              </w:rPr>
              <w:t>uchyłkowa</w:t>
            </w:r>
            <w:proofErr w:type="spellEnd"/>
            <w:r>
              <w:rPr>
                <w:rFonts w:asciiTheme="minorHAnsi" w:eastAsia="Times New Roman" w:hAnsiTheme="minorHAnsi" w:cstheme="minorHAnsi"/>
                <w:sz w:val="20"/>
                <w:szCs w:val="20"/>
                <w:lang w:eastAsia="pl-PL"/>
              </w:rPr>
              <w:t xml:space="preserve"> jelita grubego; nieswoiste choroby zapalne jelit; chorobach układu krążenia: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choroba niedokrwienna serca; miażdżyca; niewydolność serca; nadciśnienie tętnicze.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Żywienie w: chorobach nerek: ostra niewydolność nerek; przewlekła niewydolność nerek; zespół nerczycowy.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Żywienie w dnie moczanowej- dieta ubogo purynowa.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otyłości, NASH (niealkoholowa </w:t>
            </w:r>
            <w:proofErr w:type="spellStart"/>
            <w:r>
              <w:rPr>
                <w:rFonts w:asciiTheme="minorHAnsi" w:eastAsia="Times New Roman" w:hAnsiTheme="minorHAnsi" w:cstheme="minorHAnsi"/>
                <w:sz w:val="20"/>
                <w:szCs w:val="20"/>
                <w:lang w:eastAsia="pl-PL"/>
              </w:rPr>
              <w:t>stłuszczeniowa</w:t>
            </w:r>
            <w:proofErr w:type="spellEnd"/>
            <w:r>
              <w:rPr>
                <w:rFonts w:asciiTheme="minorHAnsi" w:eastAsia="Times New Roman" w:hAnsiTheme="minorHAnsi" w:cstheme="minorHAnsi"/>
                <w:sz w:val="20"/>
                <w:szCs w:val="20"/>
                <w:lang w:eastAsia="pl-PL"/>
              </w:rPr>
              <w:t xml:space="preserve"> choroba wątroby), zespole metabolicznym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Przegląd diet stosowanych w otyłości. Specyficzne sposoby odżywiania się (wegetarianizm, dieta śródziemnomorska, Andersona, </w:t>
            </w:r>
            <w:proofErr w:type="spellStart"/>
            <w:r>
              <w:rPr>
                <w:rFonts w:asciiTheme="minorHAnsi" w:eastAsia="Times New Roman" w:hAnsiTheme="minorHAnsi" w:cstheme="minorHAnsi"/>
                <w:sz w:val="20"/>
                <w:szCs w:val="20"/>
                <w:lang w:eastAsia="pl-PL"/>
              </w:rPr>
              <w:t>Atkinsa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Budwig</w:t>
            </w:r>
            <w:proofErr w:type="spellEnd"/>
            <w:r>
              <w:rPr>
                <w:rFonts w:asciiTheme="minorHAnsi" w:eastAsia="Times New Roman" w:hAnsiTheme="minorHAnsi" w:cstheme="minorHAnsi"/>
                <w:sz w:val="20"/>
                <w:szCs w:val="20"/>
                <w:lang w:eastAsia="pl-PL"/>
              </w:rPr>
              <w:t xml:space="preserve">, Cambridge, </w:t>
            </w:r>
            <w:proofErr w:type="spellStart"/>
            <w:r>
              <w:rPr>
                <w:rFonts w:asciiTheme="minorHAnsi" w:eastAsia="Times New Roman" w:hAnsiTheme="minorHAnsi" w:cstheme="minorHAnsi"/>
                <w:sz w:val="20"/>
                <w:szCs w:val="20"/>
                <w:lang w:eastAsia="pl-PL"/>
              </w:rPr>
              <w:t>Diamondów</w:t>
            </w:r>
            <w:proofErr w:type="spellEnd"/>
            <w:r>
              <w:rPr>
                <w:rFonts w:asciiTheme="minorHAnsi" w:eastAsia="Times New Roman" w:hAnsiTheme="minorHAnsi" w:cstheme="minorHAnsi"/>
                <w:sz w:val="20"/>
                <w:szCs w:val="20"/>
                <w:lang w:eastAsia="pl-PL"/>
              </w:rPr>
              <w:t xml:space="preserve">, Haya, </w:t>
            </w:r>
            <w:proofErr w:type="spellStart"/>
            <w:r>
              <w:rPr>
                <w:rFonts w:asciiTheme="minorHAnsi" w:eastAsia="Times New Roman" w:hAnsiTheme="minorHAnsi" w:cstheme="minorHAnsi"/>
                <w:sz w:val="20"/>
                <w:szCs w:val="20"/>
                <w:lang w:eastAsia="pl-PL"/>
              </w:rPr>
              <w:t>Montignac</w:t>
            </w:r>
            <w:proofErr w:type="spellEnd"/>
            <w:r>
              <w:rPr>
                <w:rFonts w:asciiTheme="minorHAnsi" w:eastAsia="Times New Roman" w:hAnsiTheme="minorHAnsi" w:cstheme="minorHAnsi"/>
                <w:sz w:val="20"/>
                <w:szCs w:val="20"/>
                <w:lang w:eastAsia="pl-PL"/>
              </w:rPr>
              <w:t xml:space="preserve">, optymalna Kwaśniewskiego, makrobiotyczna, Zone, Portfolio, </w:t>
            </w:r>
            <w:proofErr w:type="spellStart"/>
            <w:r>
              <w:rPr>
                <w:rFonts w:asciiTheme="minorHAnsi" w:eastAsia="Times New Roman" w:hAnsiTheme="minorHAnsi" w:cstheme="minorHAnsi"/>
                <w:sz w:val="20"/>
                <w:szCs w:val="20"/>
                <w:lang w:eastAsia="pl-PL"/>
              </w:rPr>
              <w:t>Dash</w:t>
            </w:r>
            <w:proofErr w:type="spellEnd"/>
            <w:r>
              <w:rPr>
                <w:rFonts w:asciiTheme="minorHAnsi" w:eastAsia="Times New Roman" w:hAnsiTheme="minorHAnsi" w:cstheme="minorHAnsi"/>
                <w:sz w:val="20"/>
                <w:szCs w:val="20"/>
                <w:lang w:eastAsia="pl-PL"/>
              </w:rPr>
              <w:t xml:space="preserve">, wg ADA, </w:t>
            </w:r>
            <w:proofErr w:type="spellStart"/>
            <w:r>
              <w:rPr>
                <w:rFonts w:asciiTheme="minorHAnsi" w:eastAsia="Times New Roman" w:hAnsiTheme="minorHAnsi" w:cstheme="minorHAnsi"/>
                <w:sz w:val="20"/>
                <w:szCs w:val="20"/>
                <w:lang w:eastAsia="pl-PL"/>
              </w:rPr>
              <w:t>Weight</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Watchers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Ornish’a</w:t>
            </w:r>
            <w:proofErr w:type="spellEnd"/>
            <w:r>
              <w:rPr>
                <w:rFonts w:asciiTheme="minorHAnsi" w:eastAsia="Times New Roman" w:hAnsiTheme="minorHAnsi" w:cstheme="minorHAnsi"/>
                <w:sz w:val="20"/>
                <w:szCs w:val="20"/>
                <w:lang w:eastAsia="pl-PL"/>
              </w:rPr>
              <w:t>, Dukana) oraz efekty metaboliczne wynikające ze stosowania w/w rodzajów diet redukcyjnych.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Zioła, przyprawy. Interakcje między żywnością, suplementami diety a lekami.</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Dietetyka pediatryczna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2 + 2 </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r>
              <w:rPr>
                <w:rFonts w:asciiTheme="minorHAnsi" w:eastAsia="Times New Roman" w:hAnsiTheme="minorHAnsi" w:cstheme="minorHAnsi"/>
                <w:sz w:val="20"/>
                <w:szCs w:val="24"/>
                <w:lang w:eastAsia="pl-PL"/>
              </w:rPr>
              <w:br/>
              <w:t>1. Wprowadzenie do pediatrii. Odrębności trawienia i wchłaniania u dzieci. Ocena stanu odżywienia pacjenta pediatrycznego.</w:t>
            </w:r>
            <w:r>
              <w:rPr>
                <w:rFonts w:asciiTheme="minorHAnsi" w:eastAsia="Times New Roman" w:hAnsiTheme="minorHAnsi" w:cstheme="minorHAnsi"/>
                <w:sz w:val="20"/>
                <w:szCs w:val="24"/>
                <w:lang w:eastAsia="pl-PL"/>
              </w:rPr>
              <w:br/>
              <w:t xml:space="preserve">2. Karmienie naturalne niemowląt. </w:t>
            </w:r>
            <w:r>
              <w:rPr>
                <w:rFonts w:asciiTheme="minorHAnsi" w:eastAsia="Times New Roman" w:hAnsiTheme="minorHAnsi" w:cstheme="minorHAnsi"/>
                <w:sz w:val="20"/>
                <w:szCs w:val="24"/>
                <w:lang w:eastAsia="pl-PL"/>
              </w:rPr>
              <w:br/>
              <w:t>3. Preparaty do początkowego i następnego żywienia niemowląt oraz żywność uzupełniająca w żywieniu niemowląt.</w:t>
            </w:r>
            <w:r>
              <w:rPr>
                <w:rFonts w:asciiTheme="minorHAnsi" w:eastAsia="Times New Roman" w:hAnsiTheme="minorHAnsi" w:cstheme="minorHAnsi"/>
                <w:sz w:val="20"/>
                <w:szCs w:val="24"/>
                <w:lang w:eastAsia="pl-PL"/>
              </w:rPr>
              <w:br/>
              <w:t>4. Żywienie w mukowiscydozie.</w:t>
            </w:r>
            <w:r>
              <w:rPr>
                <w:rFonts w:asciiTheme="minorHAnsi" w:eastAsia="Times New Roman" w:hAnsiTheme="minorHAnsi" w:cstheme="minorHAnsi"/>
                <w:sz w:val="20"/>
                <w:szCs w:val="24"/>
                <w:lang w:eastAsia="pl-PL"/>
              </w:rPr>
              <w:br/>
              <w:t>5. Postępowanie dietetyczne w zaburzeniach przemiany aminokwasów, węglowodanów i tłuszczów.</w:t>
            </w:r>
            <w:r>
              <w:rPr>
                <w:rFonts w:asciiTheme="minorHAnsi" w:eastAsia="Times New Roman" w:hAnsiTheme="minorHAnsi" w:cstheme="minorHAnsi"/>
                <w:sz w:val="20"/>
                <w:szCs w:val="24"/>
                <w:lang w:eastAsia="pl-PL"/>
              </w:rPr>
              <w:br/>
              <w:t>6. Zasady leczenia dojelitowego i pozajelitowego u dzieci.</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r>
              <w:rPr>
                <w:rFonts w:asciiTheme="minorHAnsi" w:eastAsia="Times New Roman" w:hAnsiTheme="minorHAnsi" w:cstheme="minorHAnsi"/>
                <w:sz w:val="20"/>
                <w:szCs w:val="24"/>
                <w:lang w:eastAsia="pl-PL"/>
              </w:rPr>
              <w:br/>
              <w:t>1. Żywienie w wybranych patologiach ciąży.</w:t>
            </w:r>
            <w:r>
              <w:rPr>
                <w:rFonts w:asciiTheme="minorHAnsi" w:eastAsia="Times New Roman" w:hAnsiTheme="minorHAnsi" w:cstheme="minorHAnsi"/>
                <w:sz w:val="20"/>
                <w:szCs w:val="24"/>
                <w:lang w:eastAsia="pl-PL"/>
              </w:rPr>
              <w:br/>
              <w:t xml:space="preserve">2. Żywienie niemowląt i dzieci w placówkach ochrony zdrowia - ogólne zasady funkcjonowania bloków żywieniowych i „kuchni niemowlęcej”. </w:t>
            </w:r>
            <w:r>
              <w:rPr>
                <w:rFonts w:asciiTheme="minorHAnsi" w:eastAsia="Times New Roman" w:hAnsiTheme="minorHAnsi" w:cstheme="minorHAnsi"/>
                <w:sz w:val="20"/>
                <w:szCs w:val="24"/>
                <w:lang w:eastAsia="pl-PL"/>
              </w:rPr>
              <w:br/>
              <w:t xml:space="preserve">3. Zaburzenia odżywiania u </w:t>
            </w:r>
            <w:r>
              <w:rPr>
                <w:rFonts w:asciiTheme="minorHAnsi" w:eastAsia="Times New Roman" w:hAnsiTheme="minorHAnsi" w:cstheme="minorHAnsi"/>
                <w:sz w:val="20"/>
                <w:szCs w:val="24"/>
                <w:lang w:eastAsia="pl-PL"/>
              </w:rPr>
              <w:lastRenderedPageBreak/>
              <w:t>dzieci i młodzieży.</w:t>
            </w:r>
            <w:r>
              <w:rPr>
                <w:rFonts w:asciiTheme="minorHAnsi" w:eastAsia="Times New Roman" w:hAnsiTheme="minorHAnsi" w:cstheme="minorHAnsi"/>
                <w:sz w:val="20"/>
                <w:szCs w:val="24"/>
                <w:lang w:eastAsia="pl-PL"/>
              </w:rPr>
              <w:br/>
              <w:t xml:space="preserve">4. Stosowanie diety wegetariańskiej i innych diet alternatywnych u kobiet w ciąży, karmiących piersią, noworodków i niemowląt. </w:t>
            </w:r>
            <w:r>
              <w:rPr>
                <w:rFonts w:asciiTheme="minorHAnsi" w:eastAsia="Times New Roman" w:hAnsiTheme="minorHAnsi" w:cstheme="minorHAnsi"/>
                <w:sz w:val="20"/>
                <w:szCs w:val="24"/>
                <w:lang w:eastAsia="pl-PL"/>
              </w:rPr>
              <w:br/>
              <w:t xml:space="preserve">5. </w:t>
            </w:r>
            <w:proofErr w:type="spellStart"/>
            <w:r>
              <w:rPr>
                <w:rFonts w:asciiTheme="minorHAnsi" w:eastAsia="Times New Roman" w:hAnsiTheme="minorHAnsi" w:cstheme="minorHAnsi"/>
                <w:sz w:val="20"/>
                <w:szCs w:val="24"/>
                <w:lang w:eastAsia="pl-PL"/>
              </w:rPr>
              <w:t>Probiotyki</w:t>
            </w:r>
            <w:proofErr w:type="spellEnd"/>
            <w:r>
              <w:rPr>
                <w:rFonts w:asciiTheme="minorHAnsi" w:eastAsia="Times New Roman" w:hAnsiTheme="minorHAnsi" w:cstheme="minorHAnsi"/>
                <w:sz w:val="20"/>
                <w:szCs w:val="24"/>
                <w:lang w:eastAsia="pl-PL"/>
              </w:rPr>
              <w:t xml:space="preserve"> i prebiotyki w żywieniu dzieci. </w:t>
            </w:r>
            <w:r>
              <w:rPr>
                <w:rFonts w:asciiTheme="minorHAnsi" w:eastAsia="Times New Roman" w:hAnsiTheme="minorHAnsi" w:cstheme="minorHAnsi"/>
                <w:sz w:val="20"/>
                <w:szCs w:val="24"/>
                <w:lang w:eastAsia="pl-PL"/>
              </w:rPr>
              <w:br/>
              <w:t>6. Żywienie dzieci i młodzieży uprawiającej sport.</w:t>
            </w:r>
          </w:p>
          <w:p w:rsidR="00373AC5" w:rsidRDefault="00373AC5">
            <w:pPr>
              <w:spacing w:after="0"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4"/>
                <w:lang w:eastAsia="pl-PL"/>
              </w:rPr>
              <w:t>Ćwiczenia:</w:t>
            </w:r>
            <w:r>
              <w:rPr>
                <w:rFonts w:asciiTheme="minorHAnsi" w:eastAsia="Times New Roman" w:hAnsiTheme="minorHAnsi" w:cstheme="minorHAnsi"/>
                <w:sz w:val="20"/>
                <w:szCs w:val="24"/>
                <w:lang w:eastAsia="pl-PL"/>
              </w:rPr>
              <w:br/>
              <w:t>1. Żywienie kobiet ciężarnych i karmiących piersią.</w:t>
            </w:r>
            <w:r>
              <w:rPr>
                <w:rFonts w:asciiTheme="minorHAnsi" w:eastAsia="Times New Roman" w:hAnsiTheme="minorHAnsi" w:cstheme="minorHAnsi"/>
                <w:sz w:val="20"/>
                <w:szCs w:val="24"/>
                <w:lang w:eastAsia="pl-PL"/>
              </w:rPr>
              <w:br/>
              <w:t>2. Schemat żywienia niemowląt.</w:t>
            </w:r>
            <w:r>
              <w:rPr>
                <w:rFonts w:asciiTheme="minorHAnsi" w:eastAsia="Times New Roman" w:hAnsiTheme="minorHAnsi" w:cstheme="minorHAnsi"/>
                <w:sz w:val="20"/>
                <w:szCs w:val="24"/>
                <w:lang w:eastAsia="pl-PL"/>
              </w:rPr>
              <w:br/>
              <w:t>3. Dieta w nietolerancji laktozy i alergii na białko mleka krowiego.</w:t>
            </w:r>
            <w:r>
              <w:rPr>
                <w:rFonts w:asciiTheme="minorHAnsi" w:eastAsia="Times New Roman" w:hAnsiTheme="minorHAnsi" w:cstheme="minorHAnsi"/>
                <w:sz w:val="20"/>
                <w:szCs w:val="24"/>
                <w:lang w:eastAsia="pl-PL"/>
              </w:rPr>
              <w:br/>
              <w:t>4. Dieta bezglutenowa w żywieniu dzieci z celiakią.</w:t>
            </w:r>
            <w:r>
              <w:rPr>
                <w:rFonts w:asciiTheme="minorHAnsi" w:eastAsia="Times New Roman" w:hAnsiTheme="minorHAnsi" w:cstheme="minorHAnsi"/>
                <w:sz w:val="20"/>
                <w:szCs w:val="24"/>
                <w:lang w:eastAsia="pl-PL"/>
              </w:rPr>
              <w:br/>
              <w:t>5. Żywienie w mukowiscydozie.</w:t>
            </w:r>
            <w:r>
              <w:rPr>
                <w:rFonts w:asciiTheme="minorHAnsi" w:eastAsia="Times New Roman" w:hAnsiTheme="minorHAnsi" w:cstheme="minorHAnsi"/>
                <w:sz w:val="20"/>
                <w:szCs w:val="24"/>
                <w:lang w:eastAsia="pl-PL"/>
              </w:rPr>
              <w:br/>
              <w:t>6. Dieta w cukrzycy typu 1.</w:t>
            </w:r>
            <w:r>
              <w:rPr>
                <w:rFonts w:asciiTheme="minorHAnsi" w:eastAsia="Times New Roman" w:hAnsiTheme="minorHAnsi" w:cstheme="minorHAnsi"/>
                <w:sz w:val="20"/>
                <w:szCs w:val="24"/>
                <w:lang w:eastAsia="pl-PL"/>
              </w:rPr>
              <w:br/>
              <w:t>7. Żywienie dzieci z niedożywieniem, nadwagą i otyłością.</w:t>
            </w:r>
            <w:r>
              <w:rPr>
                <w:rFonts w:asciiTheme="minorHAnsi" w:eastAsia="Times New Roman" w:hAnsiTheme="minorHAnsi" w:cstheme="minorHAnsi"/>
                <w:sz w:val="20"/>
                <w:szCs w:val="24"/>
                <w:lang w:eastAsia="pl-PL"/>
              </w:rPr>
              <w:br/>
              <w:t>8. Dieta w nieswoistych chorobach zapaleniach jelit u dzieci.</w:t>
            </w:r>
            <w:r>
              <w:rPr>
                <w:rFonts w:asciiTheme="minorHAnsi" w:eastAsia="Times New Roman" w:hAnsiTheme="minorHAnsi" w:cstheme="minorHAnsi"/>
                <w:sz w:val="20"/>
                <w:szCs w:val="24"/>
                <w:lang w:eastAsia="pl-PL"/>
              </w:rPr>
              <w:br/>
              <w:t>9. Zasady żywienia w wybranych chorobach przewodu pokarmowego (zaburzenia czynnościowe, zaparcia, biegunki, GERD).</w:t>
            </w:r>
            <w:r>
              <w:rPr>
                <w:rFonts w:asciiTheme="minorHAnsi" w:eastAsia="Times New Roman" w:hAnsiTheme="minorHAnsi" w:cstheme="minorHAnsi"/>
                <w:sz w:val="20"/>
                <w:szCs w:val="24"/>
                <w:lang w:eastAsia="pl-PL"/>
              </w:rPr>
              <w:br/>
              <w:t xml:space="preserve">10. Dieta w </w:t>
            </w:r>
            <w:proofErr w:type="spellStart"/>
            <w:r>
              <w:rPr>
                <w:rFonts w:asciiTheme="minorHAnsi" w:eastAsia="Times New Roman" w:hAnsiTheme="minorHAnsi" w:cstheme="minorHAnsi"/>
                <w:sz w:val="20"/>
                <w:szCs w:val="24"/>
                <w:lang w:eastAsia="pl-PL"/>
              </w:rPr>
              <w:t>fenyloketonurii</w:t>
            </w:r>
            <w:proofErr w:type="spellEnd"/>
            <w:r>
              <w:rPr>
                <w:rFonts w:asciiTheme="minorHAnsi" w:eastAsia="Times New Roman" w:hAnsiTheme="minorHAnsi" w:cstheme="minorHAnsi"/>
                <w:sz w:val="20"/>
                <w:szCs w:val="24"/>
                <w:lang w:eastAsia="pl-PL"/>
              </w:rPr>
              <w:t xml:space="preserve"> i innych wybranych wrodzonych wadach metabolizmu.</w:t>
            </w:r>
            <w:r>
              <w:rPr>
                <w:rFonts w:asciiTheme="minorHAnsi" w:eastAsia="Times New Roman" w:hAnsiTheme="minorHAnsi" w:cstheme="minorHAnsi"/>
                <w:sz w:val="20"/>
                <w:szCs w:val="24"/>
                <w:lang w:eastAsia="pl-PL"/>
              </w:rPr>
              <w:br/>
              <w:t>11. Dieta u dzieci z chorobami nowotworowymi.</w:t>
            </w:r>
            <w:r>
              <w:rPr>
                <w:rFonts w:asciiTheme="minorHAnsi" w:eastAsia="Times New Roman" w:hAnsiTheme="minorHAnsi" w:cstheme="minorHAnsi"/>
                <w:sz w:val="20"/>
                <w:szCs w:val="24"/>
                <w:lang w:eastAsia="pl-PL"/>
              </w:rPr>
              <w:br/>
              <w:t>12. Żywienie dzieci w wybranych chorobach nerek.</w:t>
            </w:r>
            <w:r>
              <w:rPr>
                <w:rFonts w:asciiTheme="minorHAnsi" w:eastAsia="Times New Roman" w:hAnsiTheme="minorHAnsi" w:cstheme="minorHAnsi"/>
                <w:sz w:val="20"/>
                <w:szCs w:val="24"/>
                <w:lang w:eastAsia="pl-PL"/>
              </w:rPr>
              <w:br/>
              <w:t>13. Dieta u pacjentów z zaburzeniami neurologicznymi i po zabiegach operacyjnych.</w:t>
            </w:r>
            <w:r>
              <w:rPr>
                <w:rFonts w:asciiTheme="minorHAnsi" w:eastAsia="Times New Roman" w:hAnsiTheme="minorHAnsi" w:cstheme="minorHAnsi"/>
                <w:sz w:val="20"/>
                <w:szCs w:val="24"/>
                <w:lang w:eastAsia="pl-PL"/>
              </w:rPr>
              <w:br/>
              <w:t>14. Żywienie dzieci w niedokrwistościach i chorobach zakaźnych wieku dziecięcego.</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31.</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Żywienie w sporcie i rekreacji/ B. Żywieniowe uwarunkowania wysiłku fizycznego</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K11</w:t>
            </w:r>
          </w:p>
        </w:tc>
        <w:tc>
          <w:tcPr>
            <w:tcW w:w="281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lastRenderedPageBreak/>
              <w:t>SEMINARIA:</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1. Wysiłek fizyczny w różnych okresach fizjologicznych (dzieci, młodzież, kobiety ciężarne, dorośli i osoby starsze):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zalecenia dotyczące aktywności fizycznej,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lastRenderedPageBreak/>
              <w:t xml:space="preserve">˗ wpływ wysiłku fizycznego na organizm człowieka,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różnice w odpowiedzi organizmu na wysiłek fizyczny.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2. Podstawy fizjologii i biochemii wysiłku fizycznego: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metabolizm substratów energetycznych,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ocena zapotrzebowania energetycznego,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żywienie w aktywności fizycznej rekreacyjnej,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specyfika żywienia sportowców (amatorzy/zawodnicy),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koncepcja dostępności energii i zaburzenia odżywiania u sportowców.</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3. Skład ciała osób aktywnych fizycznie. Strategie żywieniowe wpływające na masę i skład ciała.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4. Aktywność fizyczna i dieta jako profilaktyka chorób cywilizacyjnych: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podstawy kwalifikacji do regularnej aktywności fizycznej,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aktywność fizyczna u chorych na cukrzycę typu 2,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aktywność fizyczna u chorych na cukrzycę typu 1.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5. Żywienie aktywnych fizycznie chorych na cukrzycę: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ogólne strategie żywieniowe u chorych na cukrzycę uprawiających sport,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płyny w sporcie – cukrzyca. </w:t>
            </w:r>
          </w:p>
          <w:p w:rsidR="00373AC5" w:rsidRDefault="00373AC5">
            <w:pPr>
              <w:spacing w:after="0" w:line="240" w:lineRule="auto"/>
              <w:rPr>
                <w:rFonts w:eastAsia="Times New Roman" w:cs="Calibri"/>
                <w:color w:val="000000"/>
                <w:sz w:val="20"/>
                <w:lang w:eastAsia="pl-PL"/>
              </w:rPr>
            </w:pP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1. Strategie żywieniowe wpływające na masę i skład ciała.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2. Białko w diecie osób aktywnych fizycznie – specyfika sportów siłowych. Żywieniowe przygotowanie do wysiłku i regeneracja powysiłkowa.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3. Węglowodany w diecie osób aktywnych fizycznie – specyfika sportów wytrzymałościowych. Zasady żywienia </w:t>
            </w:r>
            <w:proofErr w:type="spellStart"/>
            <w:r>
              <w:rPr>
                <w:rFonts w:eastAsia="Times New Roman" w:cs="Calibri"/>
                <w:color w:val="000000"/>
                <w:sz w:val="20"/>
                <w:lang w:eastAsia="pl-PL"/>
              </w:rPr>
              <w:t>okołotreningowego</w:t>
            </w:r>
            <w:proofErr w:type="spellEnd"/>
            <w:r>
              <w:rPr>
                <w:rFonts w:eastAsia="Times New Roman" w:cs="Calibri"/>
                <w:color w:val="000000"/>
                <w:sz w:val="20"/>
                <w:lang w:eastAsia="pl-PL"/>
              </w:rPr>
              <w:t xml:space="preserv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4. Tłuszcze, witaminy i składniki mineralne w diecie osób aktywnych fizycznie. </w:t>
            </w:r>
          </w:p>
          <w:p w:rsidR="00373AC5" w:rsidRDefault="00373AC5">
            <w:pPr>
              <w:spacing w:after="0" w:line="240" w:lineRule="auto"/>
              <w:rPr>
                <w:rFonts w:asciiTheme="minorHAnsi" w:eastAsia="Times New Roman" w:hAnsiTheme="minorHAnsi" w:cstheme="minorHAnsi"/>
                <w:sz w:val="20"/>
                <w:lang w:eastAsia="pl-PL"/>
              </w:rPr>
            </w:pPr>
            <w:r>
              <w:rPr>
                <w:rFonts w:eastAsia="Times New Roman" w:cs="Calibri"/>
                <w:color w:val="000000"/>
                <w:sz w:val="20"/>
                <w:lang w:eastAsia="pl-PL"/>
              </w:rPr>
              <w:lastRenderedPageBreak/>
              <w:t>5. Woda i elektrolity w żywieniu osób aktywnych fizycznie.</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ustna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pisemna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test</w:t>
            </w:r>
          </w:p>
          <w:p w:rsidR="00373AC5" w:rsidRDefault="00373AC5">
            <w:pPr>
              <w:spacing w:after="0" w:line="240" w:lineRule="auto"/>
              <w:jc w:val="center"/>
              <w:rPr>
                <w:rFonts w:asciiTheme="minorHAnsi" w:eastAsia="Times New Roman" w:hAnsiTheme="minorHAnsi" w:cstheme="minorHAnsi"/>
                <w:sz w:val="18"/>
                <w:szCs w:val="20"/>
                <w:lang w:eastAsia="pl-PL"/>
              </w:rPr>
            </w:pPr>
            <w:r>
              <w:rPr>
                <w:rFonts w:eastAsia="Times New Roman" w:cs="Calibri"/>
                <w:color w:val="000000"/>
                <w:sz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32.</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Analiza i ocena jakości żywienia </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K11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before="100" w:beforeAutospacing="1" w:after="100" w:afterAutospacing="1"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r>
              <w:rPr>
                <w:rFonts w:asciiTheme="minorHAnsi" w:eastAsia="Times New Roman" w:hAnsiTheme="minorHAnsi" w:cstheme="minorHAnsi"/>
                <w:sz w:val="20"/>
                <w:szCs w:val="24"/>
                <w:lang w:eastAsia="pl-PL"/>
              </w:rPr>
              <w:br/>
              <w:t>1.Wybrane aspekty chemii analitycznej</w:t>
            </w:r>
            <w:r>
              <w:rPr>
                <w:rFonts w:asciiTheme="minorHAnsi" w:eastAsia="Times New Roman" w:hAnsiTheme="minorHAnsi" w:cstheme="minorHAnsi"/>
                <w:sz w:val="20"/>
                <w:szCs w:val="24"/>
                <w:lang w:eastAsia="pl-PL"/>
              </w:rPr>
              <w:br/>
              <w:t>2. Wybrane metody oznaczania składników pokarmowych</w:t>
            </w:r>
            <w:r>
              <w:rPr>
                <w:rFonts w:asciiTheme="minorHAnsi" w:eastAsia="Times New Roman" w:hAnsiTheme="minorHAnsi" w:cstheme="minorHAnsi"/>
                <w:sz w:val="20"/>
                <w:szCs w:val="24"/>
                <w:lang w:eastAsia="pl-PL"/>
              </w:rPr>
              <w:br/>
              <w:t>3. Ocena sposobu żywienia</w:t>
            </w:r>
            <w:r>
              <w:rPr>
                <w:rFonts w:asciiTheme="minorHAnsi" w:eastAsia="Times New Roman" w:hAnsiTheme="minorHAnsi" w:cstheme="minorHAnsi"/>
                <w:sz w:val="20"/>
                <w:szCs w:val="24"/>
                <w:lang w:eastAsia="pl-PL"/>
              </w:rPr>
              <w:br/>
              <w:t>4. Ocena stanu odżywienia</w:t>
            </w:r>
            <w:r>
              <w:rPr>
                <w:rFonts w:asciiTheme="minorHAnsi" w:eastAsia="Times New Roman" w:hAnsiTheme="minorHAnsi" w:cstheme="minorHAnsi"/>
                <w:sz w:val="20"/>
                <w:szCs w:val="24"/>
                <w:lang w:eastAsia="pl-PL"/>
              </w:rPr>
              <w:br/>
              <w:t xml:space="preserve">5. Indeks </w:t>
            </w:r>
            <w:proofErr w:type="spellStart"/>
            <w:r>
              <w:rPr>
                <w:rFonts w:asciiTheme="minorHAnsi" w:eastAsia="Times New Roman" w:hAnsiTheme="minorHAnsi" w:cstheme="minorHAnsi"/>
                <w:sz w:val="20"/>
                <w:szCs w:val="24"/>
                <w:lang w:eastAsia="pl-PL"/>
              </w:rPr>
              <w:t>glikemiczny</w:t>
            </w:r>
            <w:proofErr w:type="spellEnd"/>
            <w:r>
              <w:rPr>
                <w:rFonts w:asciiTheme="minorHAnsi" w:eastAsia="Times New Roman" w:hAnsiTheme="minorHAnsi" w:cstheme="minorHAnsi"/>
                <w:sz w:val="20"/>
                <w:szCs w:val="24"/>
                <w:lang w:eastAsia="pl-PL"/>
              </w:rPr>
              <w:t xml:space="preserve"> produktów i potraw – aspekty praktyczne</w:t>
            </w:r>
            <w:r>
              <w:rPr>
                <w:rFonts w:asciiTheme="minorHAnsi" w:eastAsia="Times New Roman" w:hAnsiTheme="minorHAnsi" w:cstheme="minorHAnsi"/>
                <w:sz w:val="20"/>
                <w:szCs w:val="24"/>
                <w:lang w:eastAsia="pl-PL"/>
              </w:rPr>
              <w:br/>
              <w:t>6. Zarys problematyki rzetelności w badaniach naukowych</w:t>
            </w:r>
          </w:p>
          <w:p w:rsidR="00373AC5" w:rsidRDefault="00373AC5">
            <w:pPr>
              <w:spacing w:before="100" w:beforeAutospacing="1" w:after="100" w:afterAutospacing="1"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r>
              <w:rPr>
                <w:rFonts w:asciiTheme="minorHAnsi" w:eastAsia="Times New Roman" w:hAnsiTheme="minorHAnsi" w:cstheme="minorHAnsi"/>
                <w:sz w:val="20"/>
                <w:szCs w:val="24"/>
                <w:lang w:eastAsia="pl-PL"/>
              </w:rPr>
              <w:br/>
              <w:t xml:space="preserve">1.Nutrigenomika i </w:t>
            </w:r>
            <w:proofErr w:type="spellStart"/>
            <w:r>
              <w:rPr>
                <w:rFonts w:asciiTheme="minorHAnsi" w:eastAsia="Times New Roman" w:hAnsiTheme="minorHAnsi" w:cstheme="minorHAnsi"/>
                <w:sz w:val="20"/>
                <w:szCs w:val="24"/>
                <w:lang w:eastAsia="pl-PL"/>
              </w:rPr>
              <w:t>nutrigenetyka</w:t>
            </w:r>
            <w:proofErr w:type="spellEnd"/>
            <w:r>
              <w:rPr>
                <w:rFonts w:asciiTheme="minorHAnsi" w:eastAsia="Times New Roman" w:hAnsiTheme="minorHAnsi" w:cstheme="minorHAnsi"/>
                <w:sz w:val="20"/>
                <w:szCs w:val="24"/>
                <w:lang w:eastAsia="pl-PL"/>
              </w:rPr>
              <w:t xml:space="preserve"> – przykłady wykorzystania.</w:t>
            </w:r>
            <w:r>
              <w:rPr>
                <w:rFonts w:asciiTheme="minorHAnsi" w:eastAsia="Times New Roman" w:hAnsiTheme="minorHAnsi" w:cstheme="minorHAnsi"/>
                <w:sz w:val="20"/>
                <w:szCs w:val="24"/>
                <w:lang w:eastAsia="pl-PL"/>
              </w:rPr>
              <w:br/>
              <w:t xml:space="preserve">2.Wykorzystanie PCR (reakcja polimerazy DNA) w </w:t>
            </w:r>
            <w:proofErr w:type="spellStart"/>
            <w:r>
              <w:rPr>
                <w:rFonts w:asciiTheme="minorHAnsi" w:eastAsia="Times New Roman" w:hAnsiTheme="minorHAnsi" w:cstheme="minorHAnsi"/>
                <w:sz w:val="20"/>
                <w:szCs w:val="24"/>
                <w:lang w:eastAsia="pl-PL"/>
              </w:rPr>
              <w:t>nutrigenetyce</w:t>
            </w:r>
            <w:proofErr w:type="spellEnd"/>
            <w:r>
              <w:rPr>
                <w:rFonts w:asciiTheme="minorHAnsi" w:eastAsia="Times New Roman" w:hAnsiTheme="minorHAnsi" w:cstheme="minorHAnsi"/>
                <w:sz w:val="20"/>
                <w:szCs w:val="24"/>
                <w:lang w:eastAsia="pl-PL"/>
              </w:rPr>
              <w:t>.</w:t>
            </w:r>
            <w:r>
              <w:rPr>
                <w:rFonts w:asciiTheme="minorHAnsi" w:eastAsia="Times New Roman" w:hAnsiTheme="minorHAnsi" w:cstheme="minorHAnsi"/>
                <w:sz w:val="20"/>
                <w:szCs w:val="24"/>
                <w:lang w:eastAsia="pl-PL"/>
              </w:rPr>
              <w:br/>
              <w:t>3.Wykorzystanie chromatografii cieczowej (HPLC) w badaniach żywieniowych.</w:t>
            </w:r>
            <w:r>
              <w:rPr>
                <w:rFonts w:asciiTheme="minorHAnsi" w:eastAsia="Times New Roman" w:hAnsiTheme="minorHAnsi" w:cstheme="minorHAnsi"/>
                <w:sz w:val="20"/>
                <w:szCs w:val="24"/>
                <w:lang w:eastAsia="pl-PL"/>
              </w:rPr>
              <w:br/>
              <w:t>4.Wykorzystanie chromatografii gazowej (GC) w ocenie wartości odżywczej żywności.</w:t>
            </w:r>
            <w:r>
              <w:rPr>
                <w:rFonts w:asciiTheme="minorHAnsi" w:eastAsia="Times New Roman" w:hAnsiTheme="minorHAnsi" w:cstheme="minorHAnsi"/>
                <w:sz w:val="20"/>
                <w:szCs w:val="24"/>
                <w:lang w:eastAsia="pl-PL"/>
              </w:rPr>
              <w:br/>
              <w:t>5.Walidacja metod analitycznych –parametry walidacyjne.</w:t>
            </w:r>
            <w:r>
              <w:rPr>
                <w:rFonts w:asciiTheme="minorHAnsi" w:eastAsia="Times New Roman" w:hAnsiTheme="minorHAnsi" w:cstheme="minorHAnsi"/>
                <w:sz w:val="20"/>
                <w:szCs w:val="24"/>
                <w:lang w:eastAsia="pl-PL"/>
              </w:rPr>
              <w:br/>
              <w:t>6.Oznaczanie antyoksydantów oraz potencjału antyoksydacyjnego w żywności – metody spektrofotometryczne.</w:t>
            </w:r>
            <w:r>
              <w:rPr>
                <w:rFonts w:asciiTheme="minorHAnsi" w:eastAsia="Times New Roman" w:hAnsiTheme="minorHAnsi" w:cstheme="minorHAnsi"/>
                <w:sz w:val="20"/>
                <w:szCs w:val="24"/>
                <w:lang w:eastAsia="pl-PL"/>
              </w:rPr>
              <w:br/>
              <w:t xml:space="preserve">7.Podstawy </w:t>
            </w:r>
            <w:proofErr w:type="spellStart"/>
            <w:r>
              <w:rPr>
                <w:rFonts w:asciiTheme="minorHAnsi" w:eastAsia="Times New Roman" w:hAnsiTheme="minorHAnsi" w:cstheme="minorHAnsi"/>
                <w:sz w:val="20"/>
                <w:szCs w:val="24"/>
                <w:lang w:eastAsia="pl-PL"/>
              </w:rPr>
              <w:t>bioimpedancji</w:t>
            </w:r>
            <w:proofErr w:type="spellEnd"/>
            <w:r>
              <w:rPr>
                <w:rFonts w:asciiTheme="minorHAnsi" w:eastAsia="Times New Roman" w:hAnsiTheme="minorHAnsi" w:cstheme="minorHAnsi"/>
                <w:sz w:val="20"/>
                <w:szCs w:val="24"/>
                <w:lang w:eastAsia="pl-PL"/>
              </w:rPr>
              <w:t xml:space="preserve"> elektrycznej – możliwości jej wykorzystania w ocenie stanu odżywienia.</w:t>
            </w:r>
            <w:r>
              <w:rPr>
                <w:rFonts w:asciiTheme="minorHAnsi" w:eastAsia="Times New Roman" w:hAnsiTheme="minorHAnsi" w:cstheme="minorHAnsi"/>
                <w:sz w:val="20"/>
                <w:szCs w:val="24"/>
                <w:lang w:eastAsia="pl-PL"/>
              </w:rPr>
              <w:br/>
              <w:t>8.Podstawy analizy statystycznej – najczęściej wykorzystywane dane w opracowaniu wyników badań dotyczących wartości odżywczej żywności, żywienia i stanu odżywienia.</w:t>
            </w:r>
          </w:p>
          <w:p w:rsidR="00373AC5" w:rsidRDefault="00373AC5">
            <w:pPr>
              <w:spacing w:before="100" w:beforeAutospacing="1" w:after="100" w:afterAutospacing="1"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4"/>
                <w:lang w:eastAsia="pl-PL"/>
              </w:rPr>
              <w:t>Ćwiczenia:</w:t>
            </w:r>
            <w:r>
              <w:rPr>
                <w:rFonts w:asciiTheme="minorHAnsi" w:eastAsia="Times New Roman" w:hAnsiTheme="minorHAnsi" w:cstheme="minorHAnsi"/>
                <w:sz w:val="20"/>
                <w:szCs w:val="24"/>
                <w:lang w:eastAsia="pl-PL"/>
              </w:rPr>
              <w:br/>
              <w:t>1. Jakość zdrowotna wody pitnej</w:t>
            </w:r>
            <w:r>
              <w:rPr>
                <w:rFonts w:asciiTheme="minorHAnsi" w:eastAsia="Times New Roman" w:hAnsiTheme="minorHAnsi" w:cstheme="minorHAnsi"/>
                <w:sz w:val="20"/>
                <w:szCs w:val="24"/>
                <w:lang w:eastAsia="pl-PL"/>
              </w:rPr>
              <w:br/>
            </w:r>
            <w:r>
              <w:rPr>
                <w:rFonts w:asciiTheme="minorHAnsi" w:eastAsia="Times New Roman" w:hAnsiTheme="minorHAnsi" w:cstheme="minorHAnsi"/>
                <w:sz w:val="20"/>
                <w:szCs w:val="24"/>
                <w:lang w:eastAsia="pl-PL"/>
              </w:rPr>
              <w:lastRenderedPageBreak/>
              <w:t>2. Badania antropometryczne w ocenie stanu odżywienia</w:t>
            </w:r>
            <w:r>
              <w:rPr>
                <w:rFonts w:asciiTheme="minorHAnsi" w:eastAsia="Times New Roman" w:hAnsiTheme="minorHAnsi" w:cstheme="minorHAnsi"/>
                <w:sz w:val="20"/>
                <w:szCs w:val="24"/>
                <w:lang w:eastAsia="pl-PL"/>
              </w:rPr>
              <w:br/>
              <w:t>3. Wartość odżywcza białek</w:t>
            </w:r>
            <w:r>
              <w:rPr>
                <w:rFonts w:asciiTheme="minorHAnsi" w:eastAsia="Times New Roman" w:hAnsiTheme="minorHAnsi" w:cstheme="minorHAnsi"/>
                <w:sz w:val="20"/>
                <w:szCs w:val="24"/>
                <w:lang w:eastAsia="pl-PL"/>
              </w:rPr>
              <w:br/>
              <w:t>4. Ocena wybranych wskaźników sposobu żywienia</w:t>
            </w:r>
            <w:r>
              <w:rPr>
                <w:rFonts w:asciiTheme="minorHAnsi" w:eastAsia="Times New Roman" w:hAnsiTheme="minorHAnsi" w:cstheme="minorHAnsi"/>
                <w:sz w:val="20"/>
                <w:szCs w:val="24"/>
                <w:lang w:eastAsia="pl-PL"/>
              </w:rPr>
              <w:br/>
              <w:t>5. Rola składników mineralnych w żywieniu człowieka</w:t>
            </w:r>
            <w:r>
              <w:rPr>
                <w:rFonts w:asciiTheme="minorHAnsi" w:eastAsia="Times New Roman" w:hAnsiTheme="minorHAnsi" w:cstheme="minorHAnsi"/>
                <w:sz w:val="20"/>
                <w:szCs w:val="24"/>
                <w:lang w:eastAsia="pl-PL"/>
              </w:rPr>
              <w:br/>
              <w:t>6. Zaburzenia odżywiania – studium przypadku - cz. I</w:t>
            </w:r>
            <w:r>
              <w:rPr>
                <w:rFonts w:asciiTheme="minorHAnsi" w:eastAsia="Times New Roman" w:hAnsiTheme="minorHAnsi" w:cstheme="minorHAnsi"/>
                <w:sz w:val="20"/>
                <w:szCs w:val="24"/>
                <w:lang w:eastAsia="pl-PL"/>
              </w:rPr>
              <w:br/>
              <w:t>7. Węglowodany, jako składniki energetyczne żywności</w:t>
            </w:r>
            <w:r>
              <w:rPr>
                <w:rFonts w:asciiTheme="minorHAnsi" w:eastAsia="Times New Roman" w:hAnsiTheme="minorHAnsi" w:cstheme="minorHAnsi"/>
                <w:sz w:val="20"/>
                <w:szCs w:val="24"/>
                <w:lang w:eastAsia="pl-PL"/>
              </w:rPr>
              <w:br/>
              <w:t>8. Ocena ryzyka wystąpienia interakcji lek - pożywienie u pacjentów</w:t>
            </w:r>
            <w:r>
              <w:rPr>
                <w:rFonts w:asciiTheme="minorHAnsi" w:eastAsia="Times New Roman" w:hAnsiTheme="minorHAnsi" w:cstheme="minorHAnsi"/>
                <w:sz w:val="20"/>
                <w:szCs w:val="24"/>
                <w:lang w:eastAsia="pl-PL"/>
              </w:rPr>
              <w:br/>
              <w:t>9. Znaczenie witamin w żywieniu człowiek</w:t>
            </w:r>
            <w:r>
              <w:rPr>
                <w:rFonts w:asciiTheme="minorHAnsi" w:eastAsia="Times New Roman" w:hAnsiTheme="minorHAnsi" w:cstheme="minorHAnsi"/>
                <w:sz w:val="20"/>
                <w:szCs w:val="24"/>
                <w:lang w:eastAsia="pl-PL"/>
              </w:rPr>
              <w:br/>
              <w:t>10. Zaburzenia odżywiania – studium przypadku - cz. II</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ustna,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33.</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Organizacja pracy ze szczególnym uwzględnieniem aspektów społecznych/ B. Organizacja pracy ze szczególnym uwzględnieniem aspektów prawnych</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sz w:val="20"/>
              </w:rPr>
            </w:pPr>
            <w:r>
              <w:rPr>
                <w:sz w:val="20"/>
              </w:rPr>
              <w:t xml:space="preserve">W16, </w:t>
            </w:r>
          </w:p>
          <w:p w:rsidR="00373AC5" w:rsidRDefault="00373AC5">
            <w:pPr>
              <w:spacing w:after="0" w:line="240" w:lineRule="auto"/>
              <w:jc w:val="center"/>
              <w:rPr>
                <w:sz w:val="20"/>
              </w:rPr>
            </w:pPr>
            <w:r>
              <w:rPr>
                <w:sz w:val="20"/>
              </w:rPr>
              <w:t xml:space="preserve">W17, </w:t>
            </w:r>
          </w:p>
          <w:p w:rsidR="00373AC5" w:rsidRDefault="00373AC5">
            <w:pPr>
              <w:spacing w:after="0" w:line="240" w:lineRule="auto"/>
              <w:jc w:val="center"/>
              <w:rPr>
                <w:sz w:val="20"/>
              </w:rPr>
            </w:pPr>
            <w:r>
              <w:rPr>
                <w:sz w:val="20"/>
              </w:rPr>
              <w:t xml:space="preserve">W18, </w:t>
            </w:r>
          </w:p>
          <w:p w:rsidR="00373AC5" w:rsidRDefault="00373AC5">
            <w:pPr>
              <w:spacing w:after="0" w:line="240" w:lineRule="auto"/>
              <w:jc w:val="center"/>
              <w:rPr>
                <w:rFonts w:eastAsia="Times New Roman"/>
                <w:sz w:val="20"/>
                <w:lang w:eastAsia="pl-PL"/>
              </w:rPr>
            </w:pPr>
            <w:r>
              <w:rPr>
                <w:sz w:val="20"/>
              </w:rPr>
              <w:t>W21,</w:t>
            </w:r>
          </w:p>
          <w:p w:rsidR="00373AC5" w:rsidRDefault="00373AC5">
            <w:pPr>
              <w:spacing w:after="0" w:line="240" w:lineRule="auto"/>
              <w:jc w:val="center"/>
              <w:rPr>
                <w:rFonts w:eastAsia="Times New Roman"/>
                <w:sz w:val="20"/>
                <w:lang w:eastAsia="pl-PL"/>
              </w:rPr>
            </w:pPr>
            <w:r>
              <w:rPr>
                <w:rFonts w:eastAsia="Times New Roman"/>
                <w:sz w:val="20"/>
                <w:lang w:eastAsia="pl-PL"/>
              </w:rPr>
              <w:t xml:space="preserve">W22, </w:t>
            </w:r>
          </w:p>
          <w:p w:rsidR="00373AC5" w:rsidRDefault="00373AC5">
            <w:pPr>
              <w:spacing w:after="0" w:line="240" w:lineRule="auto"/>
              <w:jc w:val="center"/>
              <w:rPr>
                <w:sz w:val="20"/>
              </w:rPr>
            </w:pPr>
            <w:r>
              <w:rPr>
                <w:sz w:val="20"/>
              </w:rPr>
              <w:t>W24,</w:t>
            </w:r>
          </w:p>
          <w:p w:rsidR="00373AC5" w:rsidRDefault="00373AC5">
            <w:pPr>
              <w:spacing w:after="0" w:line="240" w:lineRule="auto"/>
              <w:jc w:val="center"/>
              <w:rPr>
                <w:sz w:val="20"/>
              </w:rPr>
            </w:pPr>
            <w:r>
              <w:rPr>
                <w:sz w:val="20"/>
              </w:rPr>
              <w:t>U16 ,</w:t>
            </w:r>
          </w:p>
          <w:p w:rsidR="00373AC5" w:rsidRDefault="00373AC5">
            <w:pPr>
              <w:spacing w:after="0" w:line="240" w:lineRule="auto"/>
              <w:jc w:val="center"/>
              <w:rPr>
                <w:sz w:val="20"/>
              </w:rPr>
            </w:pPr>
            <w:r>
              <w:rPr>
                <w:sz w:val="20"/>
              </w:rPr>
              <w:t>U18</w:t>
            </w:r>
          </w:p>
          <w:p w:rsidR="00373AC5" w:rsidRDefault="00373AC5">
            <w:pPr>
              <w:spacing w:after="0" w:line="240" w:lineRule="auto"/>
              <w:jc w:val="center"/>
              <w:rPr>
                <w:sz w:val="20"/>
              </w:rPr>
            </w:pPr>
            <w:r>
              <w:rPr>
                <w:sz w:val="20"/>
              </w:rPr>
              <w:t>U23,</w:t>
            </w:r>
          </w:p>
          <w:p w:rsidR="00373AC5" w:rsidRDefault="00373AC5">
            <w:pPr>
              <w:spacing w:after="0" w:line="240" w:lineRule="auto"/>
              <w:jc w:val="center"/>
              <w:rPr>
                <w:sz w:val="20"/>
              </w:rPr>
            </w:pPr>
            <w:r>
              <w:rPr>
                <w:sz w:val="20"/>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sz w:val="20"/>
              </w:rPr>
              <w:t xml:space="preserve"> K10</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Żywieniowe determinanty zdrowia i prawo żywnościowe. </w:t>
            </w:r>
            <w:r>
              <w:rPr>
                <w:rFonts w:asciiTheme="minorHAnsi" w:eastAsia="Times New Roman" w:hAnsiTheme="minorHAnsi" w:cstheme="minorHAnsi"/>
                <w:sz w:val="20"/>
                <w:szCs w:val="20"/>
                <w:lang w:eastAsia="pl-PL"/>
              </w:rPr>
              <w:t xml:space="preserve"> Zasady działania: </w:t>
            </w:r>
            <w:r>
              <w:rPr>
                <w:rFonts w:asciiTheme="minorHAnsi" w:hAnsiTheme="minorHAnsi" w:cstheme="minorHAnsi"/>
                <w:sz w:val="20"/>
                <w:szCs w:val="20"/>
              </w:rPr>
              <w:t>Systemu Wczesnego Ostrzegania o Niebezpiecznych Produktach Żywnościowych i Środkach Żywienia Zwierząt (RASF), Systemu Analizy Zagrożeń i Krytycznych Punktów Kontroli  (HACCP ), Dobrej Praktyki Higienicznej (GHP)) oraz Dobrej Praktyki Produkcyjnej (GMP). Organizacja stanowisk pracy dietetyków. Podstawy higieny pracy i ergonomii. Wymogi higieniczno-sanitarne dla zakładów żywienia zbiorowego. Zachowania zdrowotne - rodzaje, uwarunkowania społeczne i kulturowe.</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34.</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Biostatystyka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1. Wprowadzenie </w:t>
            </w:r>
            <w:proofErr w:type="spellStart"/>
            <w:r>
              <w:rPr>
                <w:rFonts w:asciiTheme="minorHAnsi" w:hAnsiTheme="minorHAnsi" w:cstheme="minorHAnsi"/>
                <w:color w:val="000000"/>
                <w:sz w:val="20"/>
                <w:szCs w:val="20"/>
                <w:lang w:eastAsia="pl-PL"/>
              </w:rPr>
              <w:t>pojęc</w:t>
            </w:r>
            <w:proofErr w:type="spellEnd"/>
            <w:r>
              <w:rPr>
                <w:rFonts w:asciiTheme="minorHAnsi" w:hAnsiTheme="minorHAnsi" w:cstheme="minorHAnsi"/>
                <w:color w:val="000000"/>
                <w:sz w:val="20"/>
                <w:szCs w:val="20"/>
                <w:lang w:eastAsia="pl-PL"/>
              </w:rPr>
              <w:t xml:space="preserve">́: populacji, próby reprezentatywnej oraz cech statystycznych i </w:t>
            </w:r>
            <w:proofErr w:type="spellStart"/>
            <w:r>
              <w:rPr>
                <w:rFonts w:asciiTheme="minorHAnsi" w:hAnsiTheme="minorHAnsi" w:cstheme="minorHAnsi"/>
                <w:color w:val="000000"/>
                <w:sz w:val="20"/>
                <w:szCs w:val="20"/>
                <w:lang w:eastAsia="pl-PL"/>
              </w:rPr>
              <w:t>skal</w:t>
            </w:r>
            <w:proofErr w:type="spellEnd"/>
            <w:r>
              <w:rPr>
                <w:rFonts w:asciiTheme="minorHAnsi" w:hAnsiTheme="minorHAnsi" w:cstheme="minorHAnsi"/>
                <w:color w:val="000000"/>
                <w:sz w:val="20"/>
                <w:szCs w:val="20"/>
                <w:lang w:eastAsia="pl-PL"/>
              </w:rPr>
              <w:t xml:space="preserve"> pomiarowych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2. Podstawy statystyki opisowej i  jej graficznej interpretacji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 Podstawy wnioskowania statystycznego: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3.1 testy parametryczne dla porównania wariancji oraz </w:t>
            </w:r>
            <w:proofErr w:type="spellStart"/>
            <w:r>
              <w:rPr>
                <w:rFonts w:asciiTheme="minorHAnsi" w:hAnsiTheme="minorHAnsi" w:cstheme="minorHAnsi"/>
                <w:color w:val="000000"/>
                <w:sz w:val="20"/>
                <w:szCs w:val="20"/>
                <w:lang w:eastAsia="pl-PL"/>
              </w:rPr>
              <w:t>wartości</w:t>
            </w:r>
            <w:proofErr w:type="spellEnd"/>
            <w:r>
              <w:rPr>
                <w:rFonts w:asciiTheme="minorHAnsi" w:hAnsiTheme="minorHAnsi" w:cstheme="minorHAnsi"/>
                <w:color w:val="000000"/>
                <w:sz w:val="20"/>
                <w:szCs w:val="20"/>
                <w:lang w:eastAsia="pl-PL"/>
              </w:rPr>
              <w:t xml:space="preserve"> </w:t>
            </w:r>
            <w:proofErr w:type="spellStart"/>
            <w:r>
              <w:rPr>
                <w:rFonts w:asciiTheme="minorHAnsi" w:hAnsiTheme="minorHAnsi" w:cstheme="minorHAnsi"/>
                <w:color w:val="000000"/>
                <w:sz w:val="20"/>
                <w:szCs w:val="20"/>
                <w:lang w:eastAsia="pl-PL"/>
              </w:rPr>
              <w:t>średnich</w:t>
            </w:r>
            <w:proofErr w:type="spellEnd"/>
            <w:r>
              <w:rPr>
                <w:rFonts w:asciiTheme="minorHAnsi" w:hAnsiTheme="minorHAnsi" w:cstheme="minorHAnsi"/>
                <w:color w:val="000000"/>
                <w:sz w:val="20"/>
                <w:szCs w:val="20"/>
                <w:lang w:eastAsia="pl-PL"/>
              </w:rPr>
              <w:t xml:space="preserve">: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3.2 testy nieparametryczne dla </w:t>
            </w:r>
            <w:r>
              <w:rPr>
                <w:rFonts w:asciiTheme="minorHAnsi" w:hAnsiTheme="minorHAnsi" w:cstheme="minorHAnsi"/>
                <w:color w:val="000000"/>
                <w:sz w:val="20"/>
                <w:szCs w:val="20"/>
                <w:lang w:eastAsia="pl-PL"/>
              </w:rPr>
              <w:lastRenderedPageBreak/>
              <w:t>porównania rozkładów danych empirycznych</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3.3 Analiza </w:t>
            </w:r>
            <w:proofErr w:type="spellStart"/>
            <w:r>
              <w:rPr>
                <w:rFonts w:asciiTheme="minorHAnsi" w:hAnsiTheme="minorHAnsi" w:cstheme="minorHAnsi"/>
                <w:color w:val="000000"/>
                <w:sz w:val="20"/>
                <w:szCs w:val="20"/>
                <w:lang w:eastAsia="pl-PL"/>
              </w:rPr>
              <w:t>niezależności</w:t>
            </w:r>
            <w:proofErr w:type="spellEnd"/>
            <w:r>
              <w:rPr>
                <w:rFonts w:asciiTheme="minorHAnsi" w:hAnsiTheme="minorHAnsi" w:cstheme="minorHAnsi"/>
                <w:color w:val="000000"/>
                <w:sz w:val="20"/>
                <w:szCs w:val="20"/>
                <w:lang w:eastAsia="pl-PL"/>
              </w:rPr>
              <w:t xml:space="preserve"> zmiennych </w:t>
            </w:r>
            <w:proofErr w:type="spellStart"/>
            <w:r>
              <w:rPr>
                <w:rFonts w:asciiTheme="minorHAnsi" w:hAnsiTheme="minorHAnsi" w:cstheme="minorHAnsi"/>
                <w:color w:val="000000"/>
                <w:sz w:val="20"/>
                <w:szCs w:val="20"/>
                <w:lang w:eastAsia="pl-PL"/>
              </w:rPr>
              <w:t>jakościowych</w:t>
            </w:r>
            <w:proofErr w:type="spellEnd"/>
            <w:r>
              <w:rPr>
                <w:rFonts w:asciiTheme="minorHAnsi" w:hAnsiTheme="minorHAnsi" w:cstheme="minorHAnsi"/>
                <w:color w:val="000000"/>
                <w:sz w:val="20"/>
                <w:szCs w:val="20"/>
                <w:lang w:eastAsia="pl-PL"/>
              </w:rPr>
              <w:t xml:space="preserve">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3.4 Podstawy analizy korelacji i regresji liniowej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3.5 Podstawy nieparametrycznej analizy korelacji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3.6 Podstawy planowania badania statystycznego z przykładami </w:t>
            </w:r>
            <w:proofErr w:type="spellStart"/>
            <w:r>
              <w:rPr>
                <w:rFonts w:asciiTheme="minorHAnsi" w:hAnsiTheme="minorHAnsi" w:cstheme="minorHAnsi"/>
                <w:color w:val="000000"/>
                <w:sz w:val="20"/>
                <w:szCs w:val="20"/>
                <w:lang w:eastAsia="pl-PL"/>
              </w:rPr>
              <w:t>zastosowan</w:t>
            </w:r>
            <w:proofErr w:type="spellEnd"/>
            <w:r>
              <w:rPr>
                <w:rFonts w:asciiTheme="minorHAnsi" w:hAnsiTheme="minorHAnsi" w:cstheme="minorHAnsi"/>
                <w:color w:val="000000"/>
                <w:sz w:val="20"/>
                <w:szCs w:val="20"/>
                <w:lang w:eastAsia="pl-PL"/>
              </w:rPr>
              <w:t xml:space="preserve">́ w dietetyce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Dietetyka oparta na faktach</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K03,</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Planowanie badań naukowych.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Typy badań naukowych.</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Lektura artykułu naukowego.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Bazy danych, m.in. MEDLINE, </w:t>
            </w:r>
            <w:proofErr w:type="spellStart"/>
            <w:r>
              <w:rPr>
                <w:rFonts w:asciiTheme="minorHAnsi" w:eastAsia="Times New Roman" w:hAnsiTheme="minorHAnsi" w:cstheme="minorHAnsi"/>
                <w:sz w:val="20"/>
                <w:szCs w:val="20"/>
                <w:lang w:eastAsia="pl-PL"/>
              </w:rPr>
              <w:t>Scopus</w:t>
            </w:r>
            <w:proofErr w:type="spellEnd"/>
            <w:r>
              <w:rPr>
                <w:rFonts w:asciiTheme="minorHAnsi" w:eastAsia="Times New Roman" w:hAnsiTheme="minorHAnsi" w:cstheme="minorHAnsi"/>
                <w:sz w:val="20"/>
                <w:szCs w:val="20"/>
                <w:lang w:eastAsia="pl-PL"/>
              </w:rPr>
              <w:t xml:space="preserv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Bibliometria</w:t>
            </w:r>
            <w:proofErr w:type="spellEnd"/>
            <w:r>
              <w:rPr>
                <w:rFonts w:asciiTheme="minorHAnsi" w:eastAsia="Times New Roman" w:hAnsiTheme="minorHAnsi" w:cstheme="minorHAnsi"/>
                <w:sz w:val="20"/>
                <w:szCs w:val="20"/>
                <w:lang w:eastAsia="pl-PL"/>
              </w:rPr>
              <w:t>.</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Stawianie pytania badawczego.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Dobór grup(y).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Metody badawcze.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Współpraca klinicystów i badaczy pracujących w naukach podstawowych.</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Zgoda Komisji Bioetycznej.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Finansowanie badań naukowych.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Współpraca międzynarodowa i krajowa.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Zbieranie danych.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Punkty końcowe.</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Podstawowe analizy </w:t>
            </w:r>
            <w:proofErr w:type="spellStart"/>
            <w:r>
              <w:rPr>
                <w:rFonts w:asciiTheme="minorHAnsi" w:eastAsia="Times New Roman" w:hAnsiTheme="minorHAnsi" w:cstheme="minorHAnsi"/>
                <w:sz w:val="20"/>
                <w:szCs w:val="20"/>
                <w:lang w:eastAsia="pl-PL"/>
              </w:rPr>
              <w:t>biostatystyczne</w:t>
            </w:r>
            <w:proofErr w:type="spellEnd"/>
            <w:r>
              <w:rPr>
                <w:rFonts w:asciiTheme="minorHAnsi" w:eastAsia="Times New Roman" w:hAnsiTheme="minorHAnsi" w:cstheme="minorHAnsi"/>
                <w:sz w:val="20"/>
                <w:szCs w:val="20"/>
                <w:lang w:eastAsia="pl-PL"/>
              </w:rPr>
              <w:t xml:space="preserv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Analiza przyczynowości.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Zmienne zakłócające.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Prezentowanie wyników badań – pisanie artykułu, publikowanie, postery, prezentacje ustne.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Przygotowywanie abstraktu i manuskryptu (wstęp, cel, materiał, metody, wyniki, wnioski).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Proces recenzji.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Krytyczna analiza treści badań i sposobu prezentacji ich wyników.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Zastosowanie wyników w praktyce klinicznej.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Perspektywy rozwoju zawodowego w badaniach naukowych w medycynie.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 stronę doktoratu – co warto wiedzieć już na studiach.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 stażach i praktykach zagranicznych. </w:t>
            </w:r>
          </w:p>
          <w:p w:rsidR="00373AC5" w:rsidRDefault="00373AC5">
            <w:pPr>
              <w:numPr>
                <w:ilvl w:val="0"/>
                <w:numId w:val="24"/>
              </w:numPr>
              <w:tabs>
                <w:tab w:val="num" w:pos="318"/>
              </w:tabs>
              <w:spacing w:before="100" w:beforeAutospacing="1" w:after="100" w:afterAutospacing="1" w:line="240" w:lineRule="auto"/>
              <w:ind w:left="318" w:hanging="283"/>
              <w:rPr>
                <w:rFonts w:ascii="Times New Roman" w:eastAsia="Times New Roman" w:hAnsi="Times New Roman"/>
                <w:sz w:val="24"/>
                <w:szCs w:val="24"/>
                <w:lang w:eastAsia="pl-PL"/>
              </w:rPr>
            </w:pPr>
            <w:r>
              <w:rPr>
                <w:rFonts w:asciiTheme="minorHAnsi" w:eastAsia="Times New Roman" w:hAnsiTheme="minorHAnsi" w:cstheme="minorHAnsi"/>
                <w:sz w:val="20"/>
                <w:szCs w:val="20"/>
                <w:lang w:eastAsia="pl-PL"/>
              </w:rPr>
              <w:t>Naukowe CV.</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Anty-</w:t>
            </w:r>
            <w:proofErr w:type="spellStart"/>
            <w:r>
              <w:rPr>
                <w:rFonts w:asciiTheme="minorHAnsi" w:hAnsiTheme="minorHAnsi" w:cstheme="minorHAnsi"/>
                <w:sz w:val="20"/>
                <w:szCs w:val="20"/>
              </w:rPr>
              <w:t>aging</w:t>
            </w:r>
            <w:proofErr w:type="spellEnd"/>
            <w:r>
              <w:rPr>
                <w:rFonts w:asciiTheme="minorHAnsi" w:hAnsiTheme="minorHAnsi" w:cstheme="minorHAnsi"/>
                <w:sz w:val="20"/>
                <w:szCs w:val="20"/>
              </w:rPr>
              <w:t xml:space="preserve"> w dietetyce/ B. Modyfikowanie tempa starzenia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Dietetyczne modyfikacje tempa starzenia się</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Składniki bioaktywne żywności a proces starzenia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Suplementy diety w działaniach anty-</w:t>
            </w:r>
            <w:proofErr w:type="spellStart"/>
            <w:r>
              <w:rPr>
                <w:rFonts w:asciiTheme="minorHAnsi" w:eastAsia="Times New Roman" w:hAnsiTheme="minorHAnsi" w:cstheme="minorHAnsi"/>
                <w:sz w:val="20"/>
                <w:szCs w:val="20"/>
                <w:lang w:eastAsia="pl-PL"/>
              </w:rPr>
              <w:t>aging</w:t>
            </w:r>
            <w:proofErr w:type="spellEnd"/>
            <w:r>
              <w:rPr>
                <w:rFonts w:asciiTheme="minorHAnsi" w:eastAsia="Times New Roman" w:hAnsiTheme="minorHAnsi" w:cstheme="minorHAnsi"/>
                <w:sz w:val="20"/>
                <w:szCs w:val="20"/>
                <w:lang w:eastAsia="pl-PL"/>
              </w:rPr>
              <w:t xml:space="preserve"> – to co wiadomo na pewno</w:t>
            </w:r>
          </w:p>
          <w:p w:rsidR="00373AC5" w:rsidRDefault="00373AC5">
            <w:pPr>
              <w:spacing w:after="0" w:line="240" w:lineRule="auto"/>
              <w:rPr>
                <w:rFonts w:asciiTheme="minorHAnsi" w:eastAsia="Times New Roman" w:hAnsiTheme="minorHAnsi" w:cstheme="minorHAnsi"/>
                <w:sz w:val="20"/>
                <w:szCs w:val="20"/>
                <w:lang w:val="en-US" w:eastAsia="pl-PL"/>
              </w:rPr>
            </w:pPr>
            <w:r>
              <w:rPr>
                <w:rFonts w:asciiTheme="minorHAnsi" w:eastAsia="Times New Roman" w:hAnsiTheme="minorHAnsi" w:cstheme="minorHAnsi"/>
                <w:sz w:val="20"/>
                <w:szCs w:val="20"/>
                <w:lang w:val="en-US" w:eastAsia="pl-PL"/>
              </w:rPr>
              <w:t xml:space="preserve">4. Superfoods </w:t>
            </w:r>
            <w:proofErr w:type="spellStart"/>
            <w:r>
              <w:rPr>
                <w:rFonts w:asciiTheme="minorHAnsi" w:eastAsia="Times New Roman" w:hAnsiTheme="minorHAnsi" w:cstheme="minorHAnsi"/>
                <w:sz w:val="20"/>
                <w:szCs w:val="20"/>
                <w:lang w:val="en-US" w:eastAsia="pl-PL"/>
              </w:rPr>
              <w:t>i</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anty</w:t>
            </w:r>
            <w:proofErr w:type="spellEnd"/>
            <w:r>
              <w:rPr>
                <w:rFonts w:asciiTheme="minorHAnsi" w:eastAsia="Times New Roman" w:hAnsiTheme="minorHAnsi" w:cstheme="minorHAnsi"/>
                <w:sz w:val="20"/>
                <w:szCs w:val="20"/>
                <w:lang w:val="en-US" w:eastAsia="pl-PL"/>
              </w:rPr>
              <w:t xml:space="preserve">-aging - </w:t>
            </w:r>
            <w:proofErr w:type="spellStart"/>
            <w:r>
              <w:rPr>
                <w:rFonts w:asciiTheme="minorHAnsi" w:eastAsia="Times New Roman" w:hAnsiTheme="minorHAnsi" w:cstheme="minorHAnsi"/>
                <w:sz w:val="20"/>
                <w:szCs w:val="20"/>
                <w:lang w:val="en-US" w:eastAsia="pl-PL"/>
              </w:rPr>
              <w:t>fakty</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i</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mity</w:t>
            </w:r>
            <w:proofErr w:type="spellEnd"/>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Żywność funkcjonalna w profilaktyce starzenia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 Zagrożenia wynikające z niewłaściwych modyfikacji dietetycznych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 Charakterystyka elementów diety potencjalnie przyśpieszających proces starzenia się</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Dietetyka gerontologiczna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Podstawowe pojęcia geriatrii i gerontologii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Wybrane wielkie zespoły geriatryczne (niedożywienie, </w:t>
            </w:r>
            <w:proofErr w:type="spellStart"/>
            <w:r>
              <w:rPr>
                <w:rFonts w:asciiTheme="minorHAnsi" w:hAnsiTheme="minorHAnsi" w:cstheme="minorHAnsi"/>
                <w:sz w:val="20"/>
                <w:szCs w:val="20"/>
              </w:rPr>
              <w:t>sarkopenia</w:t>
            </w:r>
            <w:proofErr w:type="spellEnd"/>
            <w:r>
              <w:rPr>
                <w:rFonts w:asciiTheme="minorHAnsi" w:hAnsiTheme="minorHAnsi" w:cstheme="minorHAnsi"/>
                <w:sz w:val="20"/>
                <w:szCs w:val="20"/>
              </w:rPr>
              <w:t>) jako przyczyny niesprawności funkcjonalnej 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podstawy diety w tych zespołach</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3. Dieta a zdrowe starzenie</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Niedożywienie w starości (skale i testy do oceny stanu odżywienia w geriatrii)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2. Doustna suplementacja pokarmowa w starości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3. Nadwaga i otyłość w starości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4. Związane ze starzeniem zmiany w składzie ciała – problem </w:t>
            </w:r>
            <w:proofErr w:type="spellStart"/>
            <w:r>
              <w:rPr>
                <w:rFonts w:asciiTheme="minorHAnsi" w:hAnsiTheme="minorHAnsi" w:cstheme="minorHAnsi"/>
                <w:sz w:val="20"/>
                <w:szCs w:val="20"/>
              </w:rPr>
              <w:t>sarkopenii</w:t>
            </w:r>
            <w:proofErr w:type="spellEnd"/>
            <w:r>
              <w:rPr>
                <w:rFonts w:asciiTheme="minorHAnsi" w:hAnsiTheme="minorHAnsi" w:cstheme="minorHAnsi"/>
                <w:sz w:val="20"/>
                <w:szCs w:val="20"/>
              </w:rPr>
              <w:t xml:space="preserve">, otyłości i otyłości </w:t>
            </w:r>
            <w:proofErr w:type="spellStart"/>
            <w:r>
              <w:rPr>
                <w:rFonts w:asciiTheme="minorHAnsi" w:hAnsiTheme="minorHAnsi" w:cstheme="minorHAnsi"/>
                <w:sz w:val="20"/>
                <w:szCs w:val="20"/>
              </w:rPr>
              <w:t>sarkopenicznej</w:t>
            </w:r>
            <w:proofErr w:type="spellEnd"/>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5. Żywienie w zaburzeniach poznawczych</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Ocena ryzyka niedożywienia u przykładowych starszych pacjentów</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Ocena sposobu żywienia przykładowej osoby starszej w </w:t>
            </w:r>
            <w:r>
              <w:rPr>
                <w:rFonts w:asciiTheme="minorHAnsi" w:hAnsiTheme="minorHAnsi" w:cstheme="minorHAnsi"/>
                <w:sz w:val="20"/>
                <w:szCs w:val="20"/>
              </w:rPr>
              <w:lastRenderedPageBreak/>
              <w:t>oparciu o 7-dniowy dzienniczek żywieniowy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3. Konstruowanie jadłospisów dla osób w wieku podeszłym z różnymi jednostkami chorobowymi</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Test </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38.</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Żywienie w chorobach endokrynologicznych</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sz w:val="20"/>
              </w:rPr>
              <w:t>1. Seminaria</w:t>
            </w:r>
            <w:r>
              <w:rPr>
                <w:sz w:val="20"/>
              </w:rPr>
              <w:br/>
              <w:t>a) Badania diagnostyczne w chorobach układu dokrewnego. Osteoporoza.</w:t>
            </w:r>
            <w:r>
              <w:rPr>
                <w:sz w:val="20"/>
              </w:rPr>
              <w:br/>
              <w:t>b) Nowotwory neuroendokrynne. Stres i suplementy</w:t>
            </w:r>
            <w:r>
              <w:rPr>
                <w:sz w:val="20"/>
              </w:rPr>
              <w:br/>
              <w:t>2. Ćwiczenia:</w:t>
            </w:r>
            <w:r>
              <w:rPr>
                <w:sz w:val="20"/>
              </w:rPr>
              <w:br/>
              <w:t>a) Przygotowanie żywieniowe pacjenta do diagnostyki chorób nadnerczy i przysadki.</w:t>
            </w:r>
            <w:r>
              <w:rPr>
                <w:sz w:val="20"/>
              </w:rPr>
              <w:br/>
              <w:t>b) Wywiad i szkolenie edukacyjne wśród pacjentów z zaburzeniami gospodarki węglowodanowej.</w:t>
            </w:r>
            <w:r>
              <w:rPr>
                <w:sz w:val="20"/>
              </w:rPr>
              <w:br/>
              <w:t>c) Przygotowanie materiałów edukacyjnych dotyczących żywienia w chorobach tarczycy.</w:t>
            </w:r>
            <w:r>
              <w:rPr>
                <w:sz w:val="20"/>
              </w:rPr>
              <w:br/>
              <w:t>d) Projekt Kobieta - emocje a jelita, niepłodność.</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39.</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Techniki edukacji dietetycznej</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28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Edukacja </w:t>
            </w:r>
            <w:proofErr w:type="spellStart"/>
            <w:r>
              <w:rPr>
                <w:rFonts w:asciiTheme="minorHAnsi" w:eastAsia="Times New Roman" w:hAnsiTheme="minorHAnsi" w:cstheme="minorHAnsi"/>
                <w:sz w:val="20"/>
                <w:szCs w:val="20"/>
                <w:lang w:eastAsia="pl-PL"/>
              </w:rPr>
              <w:t>zdrowotna-edukacja</w:t>
            </w:r>
            <w:proofErr w:type="spellEnd"/>
            <w:r>
              <w:rPr>
                <w:rFonts w:asciiTheme="minorHAnsi" w:eastAsia="Times New Roman" w:hAnsiTheme="minorHAnsi" w:cstheme="minorHAnsi"/>
                <w:sz w:val="20"/>
                <w:szCs w:val="20"/>
                <w:lang w:eastAsia="pl-PL"/>
              </w:rPr>
              <w:t xml:space="preserve"> żywieniowa- podstawowa terminologia, założenia.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Struktura i elementy procesu dydaktycznego. Charakterystyka i różnicowanie zasad dydaktycznych w zależności od grupy odbiorców. Zasady nauczania z uwzględnieniem motywacji.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Zróżnicowanie form i technik wykorzystywanych w edukacji grupowej.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Techniki wykorzystywane w edukacji indywidualnej.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Zasady konstruowania scenariuszy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Przygotowywanie ćwiczeń praktycznych dla uczestników szkoleń tematycznych (otyli dorośli, kobiety ciężarne, dzieci w wieku przedszkolnym, młodzież).</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Konstruowanie scenariuszy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Przygotowywanie materiałów do przeprowadzenia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 Przeprowadzenie symulacji zaprojektowanych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Przeprowadzenie indywidualnej edukacji żywieniowej.</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lastRenderedPageBreak/>
              <w:t>EGZAMIN,</w:t>
            </w:r>
          </w:p>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t>Test</w:t>
            </w:r>
          </w:p>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szCs w:val="20"/>
                <w:lang w:eastAsia="pl-PL"/>
              </w:rPr>
              <w:t>Portfolio</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Bezpieczeństwo żywności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before="100" w:beforeAutospacing="1" w:after="100" w:afterAutospacing="1"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Tematyka wykładów:</w:t>
            </w:r>
            <w:r>
              <w:rPr>
                <w:rFonts w:asciiTheme="minorHAnsi" w:eastAsia="Times New Roman" w:hAnsiTheme="minorHAnsi" w:cstheme="minorHAnsi"/>
                <w:sz w:val="20"/>
                <w:szCs w:val="20"/>
                <w:lang w:eastAsia="pl-PL"/>
              </w:rPr>
              <w:br/>
              <w:t>1. Bezpieczeństwo żywności i żywienia – podstawy ustawodawstwa.</w:t>
            </w:r>
            <w:r>
              <w:rPr>
                <w:rFonts w:asciiTheme="minorHAnsi" w:eastAsia="Times New Roman" w:hAnsiTheme="minorHAnsi" w:cstheme="minorHAnsi"/>
                <w:sz w:val="20"/>
                <w:szCs w:val="20"/>
                <w:lang w:eastAsia="pl-PL"/>
              </w:rPr>
              <w:br/>
              <w:t xml:space="preserve">2. Dodatki do żywności </w:t>
            </w:r>
            <w:proofErr w:type="spellStart"/>
            <w:r>
              <w:rPr>
                <w:rFonts w:asciiTheme="minorHAnsi" w:eastAsia="Times New Roman" w:hAnsiTheme="minorHAnsi" w:cstheme="minorHAnsi"/>
                <w:sz w:val="20"/>
                <w:szCs w:val="20"/>
                <w:lang w:eastAsia="pl-PL"/>
              </w:rPr>
              <w:t>cz</w:t>
            </w:r>
            <w:proofErr w:type="spellEnd"/>
            <w:r>
              <w:rPr>
                <w:rFonts w:asciiTheme="minorHAnsi" w:eastAsia="Times New Roman" w:hAnsiTheme="minorHAnsi" w:cstheme="minorHAnsi"/>
                <w:sz w:val="20"/>
                <w:szCs w:val="20"/>
                <w:lang w:eastAsia="pl-PL"/>
              </w:rPr>
              <w:t xml:space="preserve"> I.</w:t>
            </w:r>
            <w:r>
              <w:rPr>
                <w:rFonts w:asciiTheme="minorHAnsi" w:eastAsia="Times New Roman" w:hAnsiTheme="minorHAnsi" w:cstheme="minorHAnsi"/>
                <w:sz w:val="20"/>
                <w:szCs w:val="20"/>
                <w:lang w:eastAsia="pl-PL"/>
              </w:rPr>
              <w:br/>
              <w:t>3. Dodatki do żywności cz. II.</w:t>
            </w:r>
            <w:r>
              <w:rPr>
                <w:rFonts w:asciiTheme="minorHAnsi" w:eastAsia="Times New Roman" w:hAnsiTheme="minorHAnsi" w:cstheme="minorHAnsi"/>
                <w:sz w:val="20"/>
                <w:szCs w:val="20"/>
                <w:lang w:eastAsia="pl-PL"/>
              </w:rPr>
              <w:br/>
              <w:t>4. Zanieczyszczenia żywności –metale ciężkie.</w:t>
            </w:r>
            <w:r>
              <w:rPr>
                <w:rFonts w:asciiTheme="minorHAnsi" w:eastAsia="Times New Roman" w:hAnsiTheme="minorHAnsi" w:cstheme="minorHAnsi"/>
                <w:sz w:val="20"/>
                <w:szCs w:val="20"/>
                <w:lang w:eastAsia="pl-PL"/>
              </w:rPr>
              <w:br/>
              <w:t>5. Zanieczyszczenia żywności –pozostałości środków ochrony roślin.</w:t>
            </w:r>
            <w:r>
              <w:rPr>
                <w:rFonts w:asciiTheme="minorHAnsi" w:eastAsia="Times New Roman" w:hAnsiTheme="minorHAnsi" w:cstheme="minorHAnsi"/>
                <w:sz w:val="20"/>
                <w:szCs w:val="20"/>
                <w:lang w:eastAsia="pl-PL"/>
              </w:rPr>
              <w:br/>
              <w:t>6. Higiena żywności. Skutki wadliwego przechowywania i przetwarzania żywności.</w:t>
            </w:r>
          </w:p>
          <w:p w:rsidR="00373AC5" w:rsidRDefault="00373AC5">
            <w:pPr>
              <w:spacing w:before="100" w:beforeAutospacing="1" w:after="100" w:afterAutospacing="1"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0"/>
                <w:lang w:eastAsia="pl-PL"/>
              </w:rPr>
              <w:t>Tematyka seminarium:</w:t>
            </w:r>
            <w:r>
              <w:rPr>
                <w:rFonts w:asciiTheme="minorHAnsi" w:eastAsia="Times New Roman" w:hAnsiTheme="minorHAnsi" w:cstheme="minorHAnsi"/>
                <w:sz w:val="20"/>
                <w:szCs w:val="20"/>
                <w:lang w:eastAsia="pl-PL"/>
              </w:rPr>
              <w:br/>
              <w:t xml:space="preserve">1.Syrop glukozowo – </w:t>
            </w:r>
            <w:proofErr w:type="spellStart"/>
            <w:r>
              <w:rPr>
                <w:rFonts w:asciiTheme="minorHAnsi" w:eastAsia="Times New Roman" w:hAnsiTheme="minorHAnsi" w:cstheme="minorHAnsi"/>
                <w:sz w:val="20"/>
                <w:szCs w:val="20"/>
                <w:lang w:eastAsia="pl-PL"/>
              </w:rPr>
              <w:t>fruktozowy</w:t>
            </w:r>
            <w:proofErr w:type="spellEnd"/>
            <w:r>
              <w:rPr>
                <w:rFonts w:asciiTheme="minorHAnsi" w:eastAsia="Times New Roman" w:hAnsiTheme="minorHAnsi" w:cstheme="minorHAnsi"/>
                <w:sz w:val="20"/>
                <w:szCs w:val="20"/>
                <w:lang w:eastAsia="pl-PL"/>
              </w:rPr>
              <w:t xml:space="preserve">, syrop klonowy, stewia, </w:t>
            </w:r>
            <w:proofErr w:type="spellStart"/>
            <w:r>
              <w:rPr>
                <w:rFonts w:asciiTheme="minorHAnsi" w:eastAsia="Times New Roman" w:hAnsiTheme="minorHAnsi" w:cstheme="minorHAnsi"/>
                <w:sz w:val="20"/>
                <w:szCs w:val="20"/>
                <w:lang w:eastAsia="pl-PL"/>
              </w:rPr>
              <w:t>erytrytol</w:t>
            </w:r>
            <w:proofErr w:type="spellEnd"/>
            <w:r>
              <w:rPr>
                <w:rFonts w:asciiTheme="minorHAnsi" w:eastAsia="Times New Roman" w:hAnsiTheme="minorHAnsi" w:cstheme="minorHAnsi"/>
                <w:sz w:val="20"/>
                <w:szCs w:val="20"/>
                <w:lang w:eastAsia="pl-PL"/>
              </w:rPr>
              <w:t xml:space="preserve"> czy są bezpiecznym zamiennikiem cukru.</w:t>
            </w:r>
            <w:r>
              <w:rPr>
                <w:rFonts w:asciiTheme="minorHAnsi" w:eastAsia="Times New Roman" w:hAnsiTheme="minorHAnsi" w:cstheme="minorHAnsi"/>
                <w:sz w:val="20"/>
                <w:szCs w:val="20"/>
                <w:lang w:eastAsia="pl-PL"/>
              </w:rPr>
              <w:br/>
              <w:t xml:space="preserve">2. Dioksyny, furany i polichlorowane </w:t>
            </w:r>
            <w:proofErr w:type="spellStart"/>
            <w:r>
              <w:rPr>
                <w:rFonts w:asciiTheme="minorHAnsi" w:eastAsia="Times New Roman" w:hAnsiTheme="minorHAnsi" w:cstheme="minorHAnsi"/>
                <w:sz w:val="20"/>
                <w:szCs w:val="20"/>
                <w:lang w:eastAsia="pl-PL"/>
              </w:rPr>
              <w:t>bifenyle</w:t>
            </w:r>
            <w:proofErr w:type="spellEnd"/>
            <w:r>
              <w:rPr>
                <w:rFonts w:asciiTheme="minorHAnsi" w:eastAsia="Times New Roman" w:hAnsiTheme="minorHAnsi" w:cstheme="minorHAnsi"/>
                <w:sz w:val="20"/>
                <w:szCs w:val="20"/>
                <w:lang w:eastAsia="pl-PL"/>
              </w:rPr>
              <w:t xml:space="preserve"> w środowisku i w żywności, ich wpływ na organizm, zagrożenia zdrowotne.</w:t>
            </w:r>
            <w:r>
              <w:rPr>
                <w:rFonts w:asciiTheme="minorHAnsi" w:eastAsia="Times New Roman" w:hAnsiTheme="minorHAnsi" w:cstheme="minorHAnsi"/>
                <w:sz w:val="20"/>
                <w:szCs w:val="20"/>
                <w:lang w:eastAsia="pl-PL"/>
              </w:rPr>
              <w:br/>
              <w:t>3. Żywność jako źródło chorób pasożytniczych człowieka.</w:t>
            </w:r>
            <w:r>
              <w:rPr>
                <w:rFonts w:asciiTheme="minorHAnsi" w:eastAsia="Times New Roman" w:hAnsiTheme="minorHAnsi" w:cstheme="minorHAnsi"/>
                <w:sz w:val="20"/>
                <w:szCs w:val="20"/>
                <w:lang w:eastAsia="pl-PL"/>
              </w:rPr>
              <w:br/>
              <w:t>4. Żywność ekologiczna i funkcjonalna – czy może stanowić zagrożenie zdrowia?</w:t>
            </w:r>
            <w:r>
              <w:rPr>
                <w:rFonts w:asciiTheme="minorHAnsi" w:eastAsia="Times New Roman" w:hAnsiTheme="minorHAnsi" w:cstheme="minorHAnsi"/>
                <w:sz w:val="20"/>
                <w:szCs w:val="20"/>
                <w:lang w:eastAsia="pl-PL"/>
              </w:rPr>
              <w:br/>
              <w:t>5. Żywność pochodzenia morskiego – zalety, wady, niebezpieczeństwo dla zdrowia człowieka.</w:t>
            </w:r>
            <w:r>
              <w:rPr>
                <w:rFonts w:asciiTheme="minorHAnsi" w:eastAsia="Times New Roman" w:hAnsiTheme="minorHAnsi" w:cstheme="minorHAnsi"/>
                <w:sz w:val="20"/>
                <w:szCs w:val="20"/>
                <w:lang w:eastAsia="pl-PL"/>
              </w:rPr>
              <w:br/>
              <w:t>6. Toksyczne składniki roślin wyższych, grzybów i pleśni.</w:t>
            </w:r>
            <w:r>
              <w:rPr>
                <w:rFonts w:asciiTheme="minorHAnsi" w:eastAsia="Times New Roman" w:hAnsiTheme="minorHAnsi" w:cstheme="minorHAnsi"/>
                <w:sz w:val="20"/>
                <w:szCs w:val="20"/>
                <w:lang w:eastAsia="pl-PL"/>
              </w:rPr>
              <w:br/>
              <w:t>7. Alergeny pokarmowe. Wpływ procesów technologicznych na alergenność produktów przetworzonych.</w:t>
            </w:r>
            <w:r>
              <w:rPr>
                <w:rFonts w:asciiTheme="minorHAnsi" w:eastAsia="Times New Roman" w:hAnsiTheme="minorHAnsi" w:cstheme="minorHAnsi"/>
                <w:sz w:val="20"/>
                <w:szCs w:val="20"/>
                <w:lang w:eastAsia="pl-PL"/>
              </w:rPr>
              <w:br/>
              <w:t>8. Woda pitna jako źródło zagrożenia dla człowieka.</w:t>
            </w:r>
            <w:r>
              <w:rPr>
                <w:rFonts w:asciiTheme="minorHAnsi" w:eastAsia="Times New Roman" w:hAnsiTheme="minorHAnsi" w:cstheme="minorHAnsi"/>
                <w:sz w:val="20"/>
                <w:szCs w:val="20"/>
                <w:lang w:eastAsia="pl-PL"/>
              </w:rPr>
              <w:br/>
              <w:t xml:space="preserve">9. Związki szkodliwe powstające w żywności podczas termicznego przetwarzania </w:t>
            </w:r>
            <w:proofErr w:type="spellStart"/>
            <w:r>
              <w:rPr>
                <w:rFonts w:asciiTheme="minorHAnsi" w:eastAsia="Times New Roman" w:hAnsiTheme="minorHAnsi" w:cstheme="minorHAnsi"/>
                <w:sz w:val="20"/>
                <w:szCs w:val="20"/>
                <w:lang w:eastAsia="pl-PL"/>
              </w:rPr>
              <w:t>np.akroleina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akryloamid</w:t>
            </w:r>
            <w:proofErr w:type="spellEnd"/>
            <w:r>
              <w:rPr>
                <w:rFonts w:asciiTheme="minorHAnsi" w:eastAsia="Times New Roman" w:hAnsiTheme="minorHAnsi" w:cstheme="minorHAnsi"/>
                <w:sz w:val="20"/>
                <w:szCs w:val="20"/>
                <w:lang w:eastAsia="pl-PL"/>
              </w:rPr>
              <w:t>, WWA –niebezpieczeństwo dla organizmu.</w:t>
            </w:r>
            <w:r>
              <w:rPr>
                <w:rFonts w:asciiTheme="minorHAnsi" w:eastAsia="Times New Roman" w:hAnsiTheme="minorHAnsi" w:cstheme="minorHAnsi"/>
                <w:sz w:val="20"/>
                <w:szCs w:val="20"/>
                <w:lang w:eastAsia="pl-PL"/>
              </w:rPr>
              <w:br/>
              <w:t xml:space="preserve">10. Soja – źródła, </w:t>
            </w:r>
            <w:r>
              <w:rPr>
                <w:rFonts w:asciiTheme="minorHAnsi" w:eastAsia="Times New Roman" w:hAnsiTheme="minorHAnsi" w:cstheme="minorHAnsi"/>
                <w:sz w:val="20"/>
                <w:szCs w:val="20"/>
                <w:lang w:eastAsia="pl-PL"/>
              </w:rPr>
              <w:lastRenderedPageBreak/>
              <w:t>zastosowanie, korzystny i niekorzystny wpływ na organizm człowieka.</w:t>
            </w:r>
            <w:r>
              <w:rPr>
                <w:rFonts w:asciiTheme="minorHAnsi" w:eastAsia="Times New Roman" w:hAnsiTheme="minorHAnsi" w:cstheme="minorHAnsi"/>
                <w:sz w:val="20"/>
                <w:szCs w:val="20"/>
                <w:lang w:eastAsia="pl-PL"/>
              </w:rPr>
              <w:br/>
              <w:t>11. Biologiczne skażenia żywności (zanieczyszczenia mikrobiologiczne i wirusowe, priony).</w:t>
            </w:r>
            <w:r>
              <w:rPr>
                <w:rFonts w:asciiTheme="minorHAnsi" w:eastAsia="Times New Roman" w:hAnsiTheme="minorHAnsi" w:cstheme="minorHAnsi"/>
                <w:sz w:val="20"/>
                <w:szCs w:val="20"/>
                <w:lang w:eastAsia="pl-PL"/>
              </w:rPr>
              <w:br/>
              <w:t>12. Opakowania do żywności jako potencjalne źródło zatruć dla człowieka – charakterystyka, statystyki, wpływ na zdrowie człowieka.</w:t>
            </w:r>
            <w:r>
              <w:rPr>
                <w:rFonts w:asciiTheme="minorHAnsi" w:eastAsia="Times New Roman" w:hAnsiTheme="minorHAnsi" w:cstheme="minorHAnsi"/>
                <w:sz w:val="20"/>
                <w:szCs w:val="20"/>
                <w:lang w:eastAsia="pl-PL"/>
              </w:rPr>
              <w:br/>
              <w:t>14. Pierwiastki promieniotwórcze w żywności i środowisku.</w:t>
            </w:r>
            <w:r>
              <w:rPr>
                <w:rFonts w:asciiTheme="minorHAnsi" w:eastAsia="Times New Roman" w:hAnsiTheme="minorHAnsi" w:cstheme="minorHAnsi"/>
                <w:sz w:val="20"/>
                <w:szCs w:val="20"/>
                <w:lang w:eastAsia="pl-PL"/>
              </w:rPr>
              <w:br/>
              <w:t>15. Alkaloidy (solanina, tomatyna itp.) i glikozydy w żywności – ich szkodliwe działanie.</w:t>
            </w:r>
            <w:r>
              <w:rPr>
                <w:rFonts w:asciiTheme="minorHAnsi" w:eastAsia="Times New Roman" w:hAnsiTheme="minorHAnsi" w:cstheme="minorHAnsi"/>
                <w:sz w:val="20"/>
                <w:szCs w:val="20"/>
                <w:lang w:eastAsia="pl-PL"/>
              </w:rPr>
              <w:br/>
              <w:t>15. Azotany i azotyny w żywności – charakterystyka, zagrożenia zdrowotne.</w:t>
            </w:r>
            <w:r>
              <w:rPr>
                <w:rFonts w:asciiTheme="minorHAnsi" w:eastAsia="Times New Roman" w:hAnsiTheme="minorHAnsi" w:cstheme="minorHAnsi"/>
                <w:sz w:val="20"/>
                <w:szCs w:val="20"/>
                <w:lang w:eastAsia="pl-PL"/>
              </w:rPr>
              <w:br/>
              <w:t xml:space="preserve">16. Owoce </w:t>
            </w:r>
            <w:proofErr w:type="spellStart"/>
            <w:r>
              <w:rPr>
                <w:rFonts w:asciiTheme="minorHAnsi" w:eastAsia="Times New Roman" w:hAnsiTheme="minorHAnsi" w:cstheme="minorHAnsi"/>
                <w:sz w:val="20"/>
                <w:szCs w:val="20"/>
                <w:lang w:eastAsia="pl-PL"/>
              </w:rPr>
              <w:t>goji</w:t>
            </w:r>
            <w:proofErr w:type="spellEnd"/>
            <w:r>
              <w:rPr>
                <w:rFonts w:asciiTheme="minorHAnsi" w:eastAsia="Times New Roman" w:hAnsiTheme="minorHAnsi" w:cstheme="minorHAnsi"/>
                <w:sz w:val="20"/>
                <w:szCs w:val="20"/>
                <w:lang w:eastAsia="pl-PL"/>
              </w:rPr>
              <w:t xml:space="preserve"> – zalety i zagrożenia.</w:t>
            </w:r>
            <w:r>
              <w:rPr>
                <w:rFonts w:asciiTheme="minorHAnsi" w:eastAsia="Times New Roman" w:hAnsiTheme="minorHAnsi" w:cstheme="minorHAnsi"/>
                <w:sz w:val="20"/>
                <w:szCs w:val="20"/>
                <w:lang w:eastAsia="pl-PL"/>
              </w:rPr>
              <w:br/>
              <w:t>17.Alkohol – epidemiologia, działanie, zagrożenia zdrowotne- alkoholizm.</w:t>
            </w:r>
            <w:r>
              <w:rPr>
                <w:rFonts w:asciiTheme="minorHAnsi" w:eastAsia="Times New Roman" w:hAnsiTheme="minorHAnsi" w:cstheme="minorHAnsi"/>
                <w:sz w:val="20"/>
                <w:szCs w:val="20"/>
                <w:lang w:eastAsia="pl-PL"/>
              </w:rPr>
              <w:br/>
              <w:t>18. Napoje energetyzujące – charakterystyka ogólna, spożycie, działanie na organizm, zagrożenia zdrowotne.</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EGZAMIN,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41.</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Medyczna informacja naukowa</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W29,</w:t>
            </w:r>
            <w:r>
              <w:rPr>
                <w:rFonts w:asciiTheme="minorHAnsi" w:eastAsia="Times New Roman" w:hAnsiTheme="minorHAnsi" w:cstheme="minorHAnsi"/>
                <w:sz w:val="20"/>
                <w:szCs w:val="20"/>
                <w:lang w:eastAsia="pl-PL"/>
              </w:rPr>
              <w:t>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 xml:space="preserve"> W30,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U02,</w:t>
            </w:r>
          </w:p>
          <w:p w:rsidR="00373AC5" w:rsidRDefault="00373AC5">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U30,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bCs/>
                <w:sz w:val="20"/>
                <w:szCs w:val="20"/>
              </w:rPr>
              <w:t>K03,</w:t>
            </w:r>
          </w:p>
        </w:tc>
        <w:tc>
          <w:tcPr>
            <w:tcW w:w="2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Podstawowe pojęcia dotyczące medycznej informacji naukowej. Źródła informacji naukowej w formie tradycyjnej i elektronicznej. Różnorodność medycznych bibliograficznych bazy danych. Podstawy metodologii pracy naukowej. Zagadnienia z zakresu redagowania prac dyplomowych.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1.Naukowe bazy medyczne dostępne w Internecie i rodzaj oferowanych zasobów. Zasady wyszukiwania informacji naukowych. Zasady dostępu do pełno tekstowych wersji artykułów medycznych.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2. Typy publikacji naukowych. Charakterystyka i zastosowanie różnych typów prac na poszczególnych etapach pisania pracy dyplomowej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3. Ocena wiarygodności źródeł elektronicznych pozyskiwanej informacji medycznej zgodna z zasadami medycyny opartej na dowodach naukowych (</w:t>
            </w:r>
            <w:proofErr w:type="spellStart"/>
            <w:r>
              <w:rPr>
                <w:rFonts w:asciiTheme="minorHAnsi" w:hAnsiTheme="minorHAnsi" w:cstheme="minorHAnsi"/>
                <w:sz w:val="20"/>
                <w:szCs w:val="20"/>
              </w:rPr>
              <w:t>Evidence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Based</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Medicine</w:t>
            </w:r>
            <w:proofErr w:type="spellEnd"/>
            <w:r>
              <w:rPr>
                <w:rFonts w:asciiTheme="minorHAnsi" w:hAnsiTheme="minorHAnsi" w:cstheme="minorHAnsi"/>
                <w:sz w:val="20"/>
                <w:szCs w:val="20"/>
              </w:rPr>
              <w:t xml:space="preserve">; EBM)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4. Metaanaliza – definicja, konstrukcja i znaczenie przedstawionych danych.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5. Prawa autorskie, pojęcie plagiatu. Podstawowe strategie graficzne przydatne do zastosowania w pracach dyplomowych z wykorzystaniem darmowego oprogramowania open </w:t>
            </w:r>
            <w:proofErr w:type="spellStart"/>
            <w:r>
              <w:rPr>
                <w:rFonts w:asciiTheme="minorHAnsi" w:hAnsiTheme="minorHAnsi" w:cstheme="minorHAnsi"/>
                <w:sz w:val="20"/>
                <w:szCs w:val="20"/>
              </w:rPr>
              <w:t>source</w:t>
            </w:r>
            <w:proofErr w:type="spellEnd"/>
            <w:r>
              <w:rPr>
                <w:rFonts w:asciiTheme="minorHAnsi" w:hAnsiTheme="minorHAnsi" w:cstheme="minorHAnsi"/>
                <w:sz w:val="20"/>
                <w:szCs w:val="20"/>
              </w:rPr>
              <w:t xml:space="preserve">. </w:t>
            </w:r>
          </w:p>
          <w:p w:rsidR="00373AC5" w:rsidRDefault="00373AC5">
            <w:pPr>
              <w:spacing w:after="0" w:line="240" w:lineRule="auto"/>
              <w:jc w:val="both"/>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6. Zasady tworzenia bibliografii załącznikowej wg systemu Vancouver z wykorzystaniem menadżera bibliografii stanowiącego darmowe oprogramowania open </w:t>
            </w:r>
            <w:proofErr w:type="spellStart"/>
            <w:r>
              <w:rPr>
                <w:rFonts w:asciiTheme="minorHAnsi" w:hAnsiTheme="minorHAnsi" w:cstheme="minorHAnsi"/>
                <w:sz w:val="20"/>
                <w:szCs w:val="20"/>
              </w:rPr>
              <w:t>source</w:t>
            </w:r>
            <w:proofErr w:type="spellEnd"/>
            <w:r>
              <w:rPr>
                <w:rFonts w:asciiTheme="minorHAnsi" w:hAnsiTheme="minorHAnsi" w:cstheme="minorHAnsi"/>
                <w:sz w:val="20"/>
                <w:szCs w:val="20"/>
              </w:rPr>
              <w:t>.</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ind w:right="525"/>
              <w:rPr>
                <w:rFonts w:asciiTheme="minorHAnsi" w:hAnsiTheme="minorHAnsi" w:cstheme="minorHAnsi"/>
                <w:sz w:val="20"/>
                <w:szCs w:val="20"/>
              </w:rPr>
            </w:pPr>
            <w:r>
              <w:rPr>
                <w:rFonts w:asciiTheme="minorHAnsi" w:hAnsiTheme="minorHAnsi" w:cstheme="minorHAnsi"/>
                <w:sz w:val="20"/>
                <w:szCs w:val="20"/>
              </w:rPr>
              <w:t>Projekt, odpowiedź ustna, 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42.</w:t>
            </w:r>
          </w:p>
        </w:tc>
        <w:tc>
          <w:tcPr>
            <w:tcW w:w="654"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Podstawy etyki dla dietetyka</w:t>
            </w: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36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W20,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Dietetyka jako etyka jedzenia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Kodeksy etyczne: indywidualne i zawodowe (na przykładzie wybranych kodeksów zawodowych dietetyków w Polsce, Stanach Zjednoczonych Ameryki Północnej, Wielkiej Brytanii i Szwecji)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Dylematy etyczne w pracy dietetyka: wytyczne </w:t>
            </w:r>
            <w:proofErr w:type="spellStart"/>
            <w:r>
              <w:rPr>
                <w:rFonts w:asciiTheme="minorHAnsi" w:eastAsia="Times New Roman" w:hAnsiTheme="minorHAnsi" w:cstheme="minorHAnsi"/>
                <w:sz w:val="20"/>
                <w:szCs w:val="20"/>
                <w:lang w:eastAsia="pl-PL"/>
              </w:rPr>
              <w:t>Academy</w:t>
            </w:r>
            <w:proofErr w:type="spellEnd"/>
            <w:r>
              <w:rPr>
                <w:rFonts w:asciiTheme="minorHAnsi" w:eastAsia="Times New Roman" w:hAnsiTheme="minorHAnsi" w:cstheme="minorHAnsi"/>
                <w:sz w:val="20"/>
                <w:szCs w:val="20"/>
                <w:lang w:eastAsia="pl-PL"/>
              </w:rPr>
              <w:t xml:space="preserve"> of </w:t>
            </w:r>
            <w:proofErr w:type="spellStart"/>
            <w:r>
              <w:rPr>
                <w:rFonts w:asciiTheme="minorHAnsi" w:eastAsia="Times New Roman" w:hAnsiTheme="minorHAnsi" w:cstheme="minorHAnsi"/>
                <w:sz w:val="20"/>
                <w:szCs w:val="20"/>
                <w:lang w:eastAsia="pl-PL"/>
              </w:rPr>
              <w:t>Nutrition</w:t>
            </w:r>
            <w:proofErr w:type="spellEnd"/>
            <w:r>
              <w:rPr>
                <w:rFonts w:asciiTheme="minorHAnsi" w:eastAsia="Times New Roman" w:hAnsiTheme="minorHAnsi" w:cstheme="minorHAnsi"/>
                <w:sz w:val="20"/>
                <w:szCs w:val="20"/>
                <w:lang w:eastAsia="pl-PL"/>
              </w:rPr>
              <w:t xml:space="preserve"> and </w:t>
            </w:r>
            <w:proofErr w:type="spellStart"/>
            <w:r>
              <w:rPr>
                <w:rFonts w:asciiTheme="minorHAnsi" w:eastAsia="Times New Roman" w:hAnsiTheme="minorHAnsi" w:cstheme="minorHAnsi"/>
                <w:sz w:val="20"/>
                <w:szCs w:val="20"/>
                <w:lang w:eastAsia="pl-PL"/>
              </w:rPr>
              <w:t>Dietetics</w:t>
            </w:r>
            <w:proofErr w:type="spellEnd"/>
            <w:r>
              <w:rPr>
                <w:rFonts w:asciiTheme="minorHAnsi" w:eastAsia="Times New Roman" w:hAnsiTheme="minorHAnsi" w:cstheme="minorHAnsi"/>
                <w:sz w:val="20"/>
                <w:szCs w:val="20"/>
                <w:lang w:eastAsia="pl-PL"/>
              </w:rPr>
              <w:t xml:space="preserve"> i jej </w:t>
            </w:r>
            <w:proofErr w:type="spellStart"/>
            <w:r>
              <w:rPr>
                <w:rFonts w:asciiTheme="minorHAnsi" w:eastAsia="Times New Roman" w:hAnsiTheme="minorHAnsi" w:cstheme="minorHAnsi"/>
                <w:sz w:val="20"/>
                <w:szCs w:val="20"/>
                <w:lang w:eastAsia="pl-PL"/>
              </w:rPr>
              <w:t>Approach</w:t>
            </w:r>
            <w:proofErr w:type="spellEnd"/>
            <w:r>
              <w:rPr>
                <w:rFonts w:asciiTheme="minorHAnsi" w:eastAsia="Times New Roman" w:hAnsiTheme="minorHAnsi" w:cstheme="minorHAnsi"/>
                <w:sz w:val="20"/>
                <w:szCs w:val="20"/>
                <w:lang w:eastAsia="pl-PL"/>
              </w:rPr>
              <w:t xml:space="preserve"> to </w:t>
            </w:r>
            <w:proofErr w:type="spellStart"/>
            <w:r>
              <w:rPr>
                <w:rFonts w:asciiTheme="minorHAnsi" w:eastAsia="Times New Roman" w:hAnsiTheme="minorHAnsi" w:cstheme="minorHAnsi"/>
                <w:sz w:val="20"/>
                <w:szCs w:val="20"/>
                <w:lang w:eastAsia="pl-PL"/>
              </w:rPr>
              <w:t>Ethical</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Decision-Making</w:t>
            </w:r>
            <w:proofErr w:type="spellEnd"/>
            <w:r>
              <w:rPr>
                <w:rFonts w:asciiTheme="minorHAnsi" w:eastAsia="Times New Roman" w:hAnsiTheme="minorHAnsi" w:cstheme="minorHAnsi"/>
                <w:sz w:val="20"/>
                <w:szCs w:val="20"/>
                <w:lang w:eastAsia="pl-PL"/>
              </w:rPr>
              <w:t>, analiza przypadków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Podstawowe zasady etyki zawodu dietetyka (systemy normatywne, prawa pacjenta, tajemnica zawodowa, dobro pacjenta/klienta, zasady współpracy z innymi zawodami medycznymi, zasady dyskusji z pacjentem/klientem). </w:t>
            </w:r>
            <w:proofErr w:type="spellStart"/>
            <w:r>
              <w:rPr>
                <w:rFonts w:asciiTheme="minorHAnsi" w:eastAsia="Times New Roman" w:hAnsiTheme="minorHAnsi" w:cstheme="minorHAnsi"/>
                <w:sz w:val="20"/>
                <w:szCs w:val="20"/>
                <w:lang w:eastAsia="pl-PL"/>
              </w:rPr>
              <w:t>Ekologizm</w:t>
            </w:r>
            <w:proofErr w:type="spellEnd"/>
            <w:r>
              <w:rPr>
                <w:rFonts w:asciiTheme="minorHAnsi" w:eastAsia="Times New Roman" w:hAnsiTheme="minorHAnsi" w:cstheme="minorHAnsi"/>
                <w:sz w:val="20"/>
                <w:szCs w:val="20"/>
                <w:lang w:eastAsia="pl-PL"/>
              </w:rPr>
              <w:t xml:space="preserve"> a dietetyka. Media a dietetyka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Case </w:t>
            </w:r>
            <w:proofErr w:type="spellStart"/>
            <w:r>
              <w:rPr>
                <w:rFonts w:asciiTheme="minorHAnsi" w:eastAsia="Times New Roman" w:hAnsiTheme="minorHAnsi" w:cstheme="minorHAnsi"/>
                <w:sz w:val="20"/>
                <w:szCs w:val="20"/>
                <w:lang w:eastAsia="pl-PL"/>
              </w:rPr>
              <w:t>study</w:t>
            </w:r>
            <w:proofErr w:type="spellEnd"/>
            <w:r>
              <w:rPr>
                <w:rFonts w:asciiTheme="minorHAnsi" w:eastAsia="Times New Roman" w:hAnsiTheme="minorHAnsi" w:cstheme="minorHAnsi"/>
                <w:sz w:val="20"/>
                <w:szCs w:val="20"/>
                <w:lang w:eastAsia="pl-PL"/>
              </w:rPr>
              <w:t xml:space="preserve"> – analiza sytuacji, w których dietetycy rozpoznają wyzwania i problemy etyczne,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Charakterystyka zaburzeń odżywiania i problemów etycznych z nimi związanych. Problemy etyczne żywienia klinicznego i przymusowego.</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odpowiedź ustna, analiza przypadku, esej</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43.</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Język obcy: A. Angielski/B. Niemiecki</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2+2+2+2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U25</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TREŚCI PROGRAMOWE: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TP1: Wprowadzenie podstawowej terminologii </w:t>
            </w:r>
            <w:r>
              <w:rPr>
                <w:rFonts w:asciiTheme="minorHAnsi" w:eastAsia="Times New Roman" w:hAnsiTheme="minorHAnsi" w:cstheme="minorHAnsi"/>
                <w:sz w:val="20"/>
                <w:szCs w:val="20"/>
                <w:lang w:eastAsia="pl-PL"/>
              </w:rPr>
              <w:lastRenderedPageBreak/>
              <w:t>specjalistycznej dotyczącej opisu anatomicznego i fizjologicznego układów ciała człowieka, chorób poszczególnych układów ciała oraz ich symptomów (różnicowanie terminologii specjalistycznej i potocznej).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 Wprowadzenie zasad wymowy terminów medycznych oraz poznanie znaczenia elementów słowotwórstwa stosowanych w terminologii medycznej.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TP3: Opisywanie budowy układów i narządów ich położenia oraz wzajemnych relacji.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TP4: Opisywanie funkcji układów i narządów oraz procesów fizjologicznych.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TP5: Układ kostno-szkieletowy - budowa kręgosłupa, kończyn; budowa, funkcje i rodzaje kości.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TP6: Układ oddechowy - jego części i budowa; mechanizm oddychania.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TP7: Układ krążenia - krew i jej skład; serce, naczynia krwionośne.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TP8: Układ trawienny : budowa układu, jego funkcje, relacje między narządami; procesy trawienia.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TP9: Układ nerwowy - budowa mózgu, rdzenia kręgowego; funkcje układu nerwowego i poszczególnych jego części.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TP10: Budowa i funkcje narządu wzroku i słuchu.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TP11: Skóra - budowa, funkcje oraz najczęstsze choroby skóry.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TP12: Układ moczowy - budowa, funkcje, najczęstsze choroby układu moczowego.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TP13: Ćwiczenie podstawowego słownictwa dotyczącego organizacji jednostek opieki zdrowotnej (organizacja służby zdrowia, typy szpitali); specjalizacje w medycynie; skład personelu medycznego.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TP14: Powszechnie występujące choroby i jej objawy.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TP15: Układ pokarmowy: procesy trawienne / biochemiczne.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TP16: Żywienie/ Odżywianie. Produkty żywnościowe oraz ich podział ze względu na zawarte w nich składniki odżywcze. Porównanie zawartości składników odżywczych w różnych grupach produktów żywnościowych. Główne źródła pozyskiwania składników odżywczych (białka, węglowodany, tłuszcze i ich funkcje fizjologiczne). Podział witamin regulujących prawidłowy przebieg procesów wewnętrznych (witaminy grupy B, witamina C, PP; witaminy: A, D, E, K).</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TP17: Potrzeby dietetyczne poszczególnych grup wiekowych (odżywianie niemowląt, dzieci w wieku szkolnym i przedszkolnym, seniorów, kobiet w ciąży, pacjentów nowotworowych).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TP18: Zaburzenia w odżywianiu (otyłość, nadwaga, nieprawidłowa masa ciała (BMI); złe nawyki w odżywianiu, alergie żywnościowe – nietolerancja na niektóre składniki odżywcze; składniki uzależniające/food </w:t>
            </w:r>
            <w:proofErr w:type="spellStart"/>
            <w:r>
              <w:rPr>
                <w:rFonts w:asciiTheme="minorHAnsi" w:eastAsia="Times New Roman" w:hAnsiTheme="minorHAnsi" w:cstheme="minorHAnsi"/>
                <w:sz w:val="20"/>
                <w:szCs w:val="20"/>
                <w:lang w:eastAsia="pl-PL"/>
              </w:rPr>
              <w:t>addictives</w:t>
            </w:r>
            <w:proofErr w:type="spellEnd"/>
            <w:r>
              <w:rPr>
                <w:rFonts w:asciiTheme="minorHAnsi" w:eastAsia="Times New Roman" w:hAnsiTheme="minorHAnsi" w:cstheme="minorHAnsi"/>
                <w:sz w:val="20"/>
                <w:szCs w:val="20"/>
                <w:lang w:eastAsia="pl-PL"/>
              </w:rPr>
              <w:t>, konserwanty, emulgatory, barwniki).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TP19: Rodzaje diet zalecanych w określonych chorobach: dieta w zaburzeniach układu trawiennego, dieta odchudzająca, dieta odtruwająca (</w:t>
            </w:r>
            <w:proofErr w:type="spellStart"/>
            <w:r>
              <w:rPr>
                <w:rFonts w:asciiTheme="minorHAnsi" w:eastAsia="Times New Roman" w:hAnsiTheme="minorHAnsi" w:cstheme="minorHAnsi"/>
                <w:sz w:val="20"/>
                <w:szCs w:val="20"/>
                <w:lang w:eastAsia="pl-PL"/>
              </w:rPr>
              <w:t>detox</w:t>
            </w:r>
            <w:proofErr w:type="spellEnd"/>
            <w:r>
              <w:rPr>
                <w:rFonts w:asciiTheme="minorHAnsi" w:eastAsia="Times New Roman" w:hAnsiTheme="minorHAnsi" w:cstheme="minorHAnsi"/>
                <w:sz w:val="20"/>
                <w:szCs w:val="20"/>
                <w:lang w:eastAsia="pl-PL"/>
              </w:rPr>
              <w:t xml:space="preserve"> diet), dieta w cukrzycy, celiakii, syndromie drażliwego jelita, w zaburzeniach trzustki, wątroby, w chorobie alkoholowej, nowotworowej oraz w chorobach układu krwionośnego.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TP20: Promowanie zdrowej żywności, zdrowych nawyków </w:t>
            </w:r>
            <w:r>
              <w:rPr>
                <w:rFonts w:asciiTheme="minorHAnsi" w:eastAsia="Times New Roman" w:hAnsiTheme="minorHAnsi" w:cstheme="minorHAnsi"/>
                <w:sz w:val="20"/>
                <w:szCs w:val="20"/>
                <w:lang w:eastAsia="pl-PL"/>
              </w:rPr>
              <w:lastRenderedPageBreak/>
              <w:t>żywieniowych oraz zdrowego stylu życia; modne trendy w dietetyce – piramidy żywieniowe; propagowanie zdrowych programów żywieniowych na bazie diety zrównoważonej (</w:t>
            </w:r>
            <w:proofErr w:type="spellStart"/>
            <w:r>
              <w:rPr>
                <w:rFonts w:asciiTheme="minorHAnsi" w:eastAsia="Times New Roman" w:hAnsiTheme="minorHAnsi" w:cstheme="minorHAnsi"/>
                <w:sz w:val="20"/>
                <w:szCs w:val="20"/>
                <w:lang w:eastAsia="pl-PL"/>
              </w:rPr>
              <w:t>Balanced</w:t>
            </w:r>
            <w:proofErr w:type="spellEnd"/>
            <w:r>
              <w:rPr>
                <w:rFonts w:asciiTheme="minorHAnsi" w:eastAsia="Times New Roman" w:hAnsiTheme="minorHAnsi" w:cstheme="minorHAnsi"/>
                <w:sz w:val="20"/>
                <w:szCs w:val="20"/>
                <w:lang w:eastAsia="pl-PL"/>
              </w:rPr>
              <w:t xml:space="preserve"> Diet).</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TP21: Komunikacja dietetyk-pacjent (poradnictwo dietetyczne: udzielanie porad w wybranych chorobach układu trawiennego; planowanie odpowiedniego postępowania dietetycznego).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TP22: Perspektywy zatrudnienia w zawodzie dietetyka; wymagane kwalifikacje (Polska /US / Anglia). Obowiązki dietetyka w wybranych miejscach działalności zawodowej (</w:t>
            </w:r>
            <w:proofErr w:type="spellStart"/>
            <w:r>
              <w:rPr>
                <w:rFonts w:asciiTheme="minorHAnsi" w:eastAsia="Times New Roman" w:hAnsiTheme="minorHAnsi" w:cstheme="minorHAnsi"/>
                <w:sz w:val="20"/>
                <w:szCs w:val="20"/>
                <w:lang w:eastAsia="pl-PL"/>
              </w:rPr>
              <w:t>dietary</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settings</w:t>
            </w:r>
            <w:proofErr w:type="spellEnd"/>
            <w:r>
              <w:rPr>
                <w:rFonts w:asciiTheme="minorHAnsi" w:eastAsia="Times New Roman" w:hAnsiTheme="minorHAnsi" w:cstheme="minorHAnsi"/>
                <w:sz w:val="20"/>
                <w:szCs w:val="20"/>
                <w:lang w:eastAsia="pl-PL"/>
              </w:rPr>
              <w:t>)</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TP23: Zasady przeprowadzania prezentacji w języku angielskim (multimedialnej).</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Test </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44.</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Kształtowanie sprawności fizycznej wykorzystując różne przyrządy i przybory.. Nauczanie i doskonalenie elementów technicznych w zespołowych grach sportowych.</w:t>
            </w:r>
            <w:r>
              <w:rPr>
                <w:rFonts w:asciiTheme="minorHAnsi" w:hAnsiTheme="minorHAnsi" w:cstheme="minorHAnsi"/>
                <w:sz w:val="20"/>
                <w:szCs w:val="20"/>
              </w:rPr>
              <w:br/>
              <w:t>Kształtowanie właściwości motorycznych.</w:t>
            </w:r>
            <w:r>
              <w:rPr>
                <w:rFonts w:asciiTheme="minorHAnsi" w:hAnsiTheme="minorHAnsi" w:cstheme="minorHAnsi"/>
                <w:sz w:val="20"/>
                <w:szCs w:val="20"/>
              </w:rPr>
              <w:br/>
              <w:t>Wykorzystanie różnych form rekreacji ruchowej w kształtowaniu sprawności fizycznej.</w:t>
            </w:r>
            <w:r>
              <w:rPr>
                <w:rFonts w:asciiTheme="minorHAnsi" w:hAnsiTheme="minorHAnsi" w:cstheme="minorHAnsi"/>
                <w:sz w:val="20"/>
                <w:szCs w:val="20"/>
              </w:rPr>
              <w:br/>
              <w:t xml:space="preserve">Trening </w:t>
            </w:r>
            <w:proofErr w:type="spellStart"/>
            <w:r>
              <w:rPr>
                <w:rFonts w:asciiTheme="minorHAnsi" w:hAnsiTheme="minorHAnsi" w:cstheme="minorHAnsi"/>
                <w:sz w:val="20"/>
                <w:szCs w:val="20"/>
              </w:rPr>
              <w:t>cardio</w:t>
            </w:r>
            <w:proofErr w:type="spellEnd"/>
            <w:r>
              <w:rPr>
                <w:rFonts w:asciiTheme="minorHAnsi" w:hAnsiTheme="minorHAnsi" w:cstheme="minorHAnsi"/>
                <w:sz w:val="20"/>
                <w:szCs w:val="20"/>
              </w:rPr>
              <w:t xml:space="preserve"> w usprawnianiu i w kształtowaniu prawidłowej sylwetki ciała.</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Projekt/Wykonanie zadania</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żucia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sz w:val="20"/>
              </w:rPr>
              <w:t>Wykłady:</w:t>
            </w:r>
            <w:r>
              <w:rPr>
                <w:sz w:val="20"/>
              </w:rPr>
              <w:br/>
              <w:t xml:space="preserve">Budowa i funkcja układu </w:t>
            </w:r>
            <w:proofErr w:type="spellStart"/>
            <w:r>
              <w:rPr>
                <w:sz w:val="20"/>
              </w:rPr>
              <w:t>stomatognatycznego</w:t>
            </w:r>
            <w:proofErr w:type="spellEnd"/>
            <w:r>
              <w:rPr>
                <w:sz w:val="20"/>
              </w:rPr>
              <w:t>.</w:t>
            </w:r>
            <w:r>
              <w:rPr>
                <w:sz w:val="20"/>
              </w:rPr>
              <w:br/>
              <w:t>Procesy patologiczne jamy ustnej.</w:t>
            </w:r>
            <w:r>
              <w:rPr>
                <w:sz w:val="20"/>
              </w:rPr>
              <w:br/>
              <w:t>Choroby twardych tkanek zęba.</w:t>
            </w:r>
            <w:r>
              <w:rPr>
                <w:sz w:val="20"/>
              </w:rPr>
              <w:br/>
              <w:t>Choroby przyzębia i błony śluzowej jamy ustnej.</w:t>
            </w:r>
            <w:r>
              <w:rPr>
                <w:sz w:val="20"/>
              </w:rPr>
              <w:br/>
              <w:t>Procesy zapalne jamy ustnej.</w:t>
            </w:r>
            <w:r>
              <w:rPr>
                <w:sz w:val="20"/>
              </w:rPr>
              <w:br/>
              <w:t>Ćwiczenia:</w:t>
            </w:r>
            <w:r>
              <w:rPr>
                <w:sz w:val="20"/>
              </w:rPr>
              <w:br/>
              <w:t xml:space="preserve">Rozwój układu </w:t>
            </w:r>
            <w:proofErr w:type="spellStart"/>
            <w:r>
              <w:rPr>
                <w:sz w:val="20"/>
              </w:rPr>
              <w:t>stomatognatycznego</w:t>
            </w:r>
            <w:proofErr w:type="spellEnd"/>
            <w:r>
              <w:rPr>
                <w:sz w:val="20"/>
              </w:rPr>
              <w:t>.</w:t>
            </w:r>
            <w:r>
              <w:rPr>
                <w:sz w:val="20"/>
              </w:rPr>
              <w:br/>
              <w:t>Fizjologia żucia - procesy ssania, gryzienia i połykania.</w:t>
            </w:r>
            <w:r>
              <w:rPr>
                <w:sz w:val="20"/>
              </w:rPr>
              <w:br/>
            </w:r>
            <w:r>
              <w:rPr>
                <w:sz w:val="20"/>
              </w:rPr>
              <w:lastRenderedPageBreak/>
              <w:t>Zaburzenia rozwojowe zębów oraz szczęk i ich wpływ na proces odżywiania.</w:t>
            </w:r>
            <w:r>
              <w:rPr>
                <w:sz w:val="20"/>
              </w:rPr>
              <w:br/>
              <w:t xml:space="preserve">Zmiany w układzie </w:t>
            </w:r>
            <w:proofErr w:type="spellStart"/>
            <w:r>
              <w:rPr>
                <w:sz w:val="20"/>
              </w:rPr>
              <w:t>stomatognatycznym</w:t>
            </w:r>
            <w:proofErr w:type="spellEnd"/>
            <w:r>
              <w:rPr>
                <w:sz w:val="20"/>
              </w:rPr>
              <w:t xml:space="preserve"> zachodzące w procesie starzenia.</w:t>
            </w:r>
            <w:r>
              <w:rPr>
                <w:sz w:val="20"/>
              </w:rPr>
              <w:br/>
              <w:t>Ślina, skład oraz jej rola w procesie trawienia.</w:t>
            </w:r>
            <w:r>
              <w:rPr>
                <w:sz w:val="20"/>
              </w:rPr>
              <w:br/>
              <w:t>Znaczenie żywienia w profilaktyce próchnicy.</w:t>
            </w:r>
            <w:r>
              <w:rPr>
                <w:sz w:val="20"/>
              </w:rPr>
              <w:br/>
              <w:t>Wybrane choroby stawów skroniowo-żuchwowych a zaburzenia funkcji żucia.</w:t>
            </w:r>
            <w:r>
              <w:rPr>
                <w:sz w:val="20"/>
              </w:rPr>
              <w:br/>
              <w:t>Metody przywracania funkcji żucia po utarcie zębów.</w:t>
            </w:r>
            <w:r>
              <w:rPr>
                <w:sz w:val="20"/>
              </w:rPr>
              <w:br/>
              <w:t>Metody rehabilitacji narządu żucia pacjentów po zabiegach onkologicznych w obrębie szczęk.</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Choroby zakaźne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 xml:space="preserve">1. Postępowanie </w:t>
            </w:r>
            <w:proofErr w:type="spellStart"/>
            <w:r>
              <w:rPr>
                <w:rFonts w:asciiTheme="minorHAnsi" w:hAnsiTheme="minorHAnsi" w:cstheme="minorHAnsi"/>
                <w:sz w:val="20"/>
                <w:szCs w:val="20"/>
              </w:rPr>
              <w:t>poekspozycyjne</w:t>
            </w:r>
            <w:proofErr w:type="spellEnd"/>
            <w:r>
              <w:rPr>
                <w:rFonts w:asciiTheme="minorHAnsi" w:hAnsiTheme="minorHAnsi" w:cstheme="minorHAnsi"/>
                <w:sz w:val="20"/>
                <w:szCs w:val="20"/>
              </w:rPr>
              <w:t xml:space="preserve"> oraz po kontakcie z wybranymi chorobami zakaźnymi.</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2. Diagnostyka laboratoryjna wybranych zakażeń bakteryjnych, wirusowych i grzybiczych.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3. Zakażenie HIV i AIDS – uwagi praktyczne.</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4. Zasady postępowania dietetycznego w wybranych chorobach zakaźnych.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5. Zakażenia szpitalne.</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Student poznaje zasady bezpiecznego postępowania (gł. zasady poruszania się w oddziale zakaźnym) z pacjentem zakażonym. Studenci uczestniczą w zabiegach diagnostycznych wykonywanych u chorych, np. biopsja wątroby, badanie endoskopowe górnego odcinka przewodu pokarmowego.</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 xml:space="preserve">W trakcie zajęć z chorób zakaźnych studenci zapoznają się z etiopatogenezą, obrazem klinicznym, diagnostyką, leczeniem, epidemiologią oraz profilaktyką współcześnie </w:t>
            </w:r>
            <w:r>
              <w:rPr>
                <w:rFonts w:asciiTheme="minorHAnsi" w:hAnsiTheme="minorHAnsi" w:cstheme="minorHAnsi"/>
                <w:sz w:val="20"/>
                <w:szCs w:val="20"/>
              </w:rPr>
              <w:lastRenderedPageBreak/>
              <w:t>występujących chorób zakaźnych. Studenci poznają zasady bezpiecznej pracy z chorymi lub podejrzanymi o chorobę zakaźną, ze szczególnym uwzględnieniem chorób wysoce zakaźnych.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Kompetencje - studenci poznają podstawowe objawy najczęstszych chorób zakaźnych, zasady postępowania . Szczególny nacisk jest położony na przestrzeganie zasad bezpieczeństwa epidemiologicznego oraz ekspozycje zawodowe.</w:t>
            </w:r>
          </w:p>
          <w:p w:rsidR="00373AC5" w:rsidRDefault="00373AC5">
            <w:pPr>
              <w:spacing w:after="0"/>
              <w:rPr>
                <w:rFonts w:asciiTheme="minorHAnsi" w:hAnsiTheme="minorHAnsi" w:cstheme="minorHAnsi"/>
                <w:strike/>
                <w:sz w:val="20"/>
                <w:szCs w:val="20"/>
              </w:rPr>
            </w:pPr>
            <w:r>
              <w:rPr>
                <w:rFonts w:asciiTheme="minorHAnsi" w:hAnsiTheme="minorHAnsi" w:cstheme="minorHAnsi"/>
                <w:sz w:val="20"/>
                <w:szCs w:val="20"/>
              </w:rPr>
              <w:t>Ponadto, dzięki specyfice oddziału zakaźnego, studenci mają kontakt z pacjentami hospitalizowanymi z powodu chorób zakaźnych, stanami ostrymi i przewlekłymi, które w różny sposób wpływają na stan odżywienia. Wymagają w związku z tym indywidualnej analizy niedoborów w zakresie odżywiania. Studenci proponują odpowiednie postępowanie dietetyczne w określonych stanach chorobowych, które jest uzależnione m.in. od zaawansowania choroby. Duży nacisk położony jest na indywidualizację porady dietetycznej.</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ustna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Alergie i nietolerancje pokarmowe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W07,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W13,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W02,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W01,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U22,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U04,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U09,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U08,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U05,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 K02,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K01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Wykład:</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Choroby </w:t>
            </w:r>
            <w:proofErr w:type="spellStart"/>
            <w:r>
              <w:rPr>
                <w:rFonts w:asciiTheme="minorHAnsi" w:hAnsiTheme="minorHAnsi" w:cstheme="minorHAnsi"/>
                <w:sz w:val="20"/>
                <w:szCs w:val="20"/>
                <w:shd w:val="clear" w:color="auto" w:fill="FFFFFF"/>
              </w:rPr>
              <w:t>glutenozależne</w:t>
            </w:r>
            <w:proofErr w:type="spellEnd"/>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 Seminaria:</w:t>
            </w:r>
            <w:r>
              <w:rPr>
                <w:rFonts w:asciiTheme="minorHAnsi" w:hAnsiTheme="minorHAnsi" w:cstheme="minorHAnsi"/>
                <w:sz w:val="20"/>
                <w:szCs w:val="20"/>
              </w:rPr>
              <w:br/>
            </w:r>
            <w:r>
              <w:rPr>
                <w:rFonts w:asciiTheme="minorHAnsi" w:hAnsiTheme="minorHAnsi" w:cstheme="minorHAnsi"/>
                <w:sz w:val="20"/>
                <w:szCs w:val="20"/>
                <w:shd w:val="clear" w:color="auto" w:fill="FFFFFF"/>
              </w:rPr>
              <w:t>a. Alergie pokarmowe i przypadki kliniczne</w:t>
            </w:r>
            <w:r>
              <w:rPr>
                <w:rFonts w:asciiTheme="minorHAnsi" w:hAnsiTheme="minorHAnsi" w:cstheme="minorHAnsi"/>
                <w:sz w:val="20"/>
                <w:szCs w:val="20"/>
              </w:rPr>
              <w:br/>
            </w:r>
            <w:r>
              <w:rPr>
                <w:rFonts w:asciiTheme="minorHAnsi" w:hAnsiTheme="minorHAnsi" w:cstheme="minorHAnsi"/>
                <w:sz w:val="20"/>
                <w:szCs w:val="20"/>
                <w:shd w:val="clear" w:color="auto" w:fill="FFFFFF"/>
              </w:rPr>
              <w:t>(etiopatogeneza, przebieg kliniczny i leczenie)</w:t>
            </w:r>
            <w:r>
              <w:rPr>
                <w:rFonts w:asciiTheme="minorHAnsi" w:hAnsiTheme="minorHAnsi" w:cstheme="minorHAnsi"/>
                <w:sz w:val="20"/>
                <w:szCs w:val="20"/>
              </w:rPr>
              <w:br/>
            </w:r>
            <w:r>
              <w:rPr>
                <w:rFonts w:asciiTheme="minorHAnsi" w:hAnsiTheme="minorHAnsi" w:cstheme="minorHAnsi"/>
                <w:sz w:val="20"/>
                <w:szCs w:val="20"/>
                <w:shd w:val="clear" w:color="auto" w:fill="FFFFFF"/>
              </w:rPr>
              <w:t>b. Alergia na mleko/</w:t>
            </w:r>
            <w:proofErr w:type="spellStart"/>
            <w:r>
              <w:rPr>
                <w:rFonts w:asciiTheme="minorHAnsi" w:hAnsiTheme="minorHAnsi" w:cstheme="minorHAnsi"/>
                <w:sz w:val="20"/>
                <w:szCs w:val="20"/>
                <w:shd w:val="clear" w:color="auto" w:fill="FFFFFF"/>
              </w:rPr>
              <w:t>Anisakis</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simplex</w:t>
            </w:r>
            <w:proofErr w:type="spellEnd"/>
            <w:r>
              <w:rPr>
                <w:rFonts w:asciiTheme="minorHAnsi" w:hAnsiTheme="minorHAnsi" w:cstheme="minorHAnsi"/>
                <w:sz w:val="20"/>
                <w:szCs w:val="20"/>
                <w:shd w:val="clear" w:color="auto" w:fill="FFFFFF"/>
              </w:rPr>
              <w:t>/Alfa- gal</w:t>
            </w:r>
            <w:r>
              <w:rPr>
                <w:rFonts w:asciiTheme="minorHAnsi" w:hAnsiTheme="minorHAnsi" w:cstheme="minorHAnsi"/>
                <w:sz w:val="20"/>
                <w:szCs w:val="20"/>
              </w:rPr>
              <w:br/>
            </w:r>
            <w:r>
              <w:rPr>
                <w:rFonts w:asciiTheme="minorHAnsi" w:hAnsiTheme="minorHAnsi" w:cstheme="minorHAnsi"/>
                <w:sz w:val="20"/>
                <w:szCs w:val="20"/>
                <w:shd w:val="clear" w:color="auto" w:fill="FFFFFF"/>
              </w:rPr>
              <w:t>c. Nietolerancje pokarmowe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 xml:space="preserve">Ćwiczenia </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Układanie diet: bezmlecznej, bezglutenowej, </w:t>
            </w:r>
            <w:proofErr w:type="spellStart"/>
            <w:r>
              <w:rPr>
                <w:rFonts w:asciiTheme="minorHAnsi" w:hAnsiTheme="minorHAnsi" w:cstheme="minorHAnsi"/>
                <w:sz w:val="20"/>
                <w:szCs w:val="20"/>
                <w:shd w:val="clear" w:color="auto" w:fill="FFFFFF"/>
              </w:rPr>
              <w:t>niskosalicylanowej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lastRenderedPageBreak/>
              <w:t>niskohistaminowej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ubogoniklowej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low</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fodmaps</w:t>
            </w:r>
            <w:proofErr w:type="spellEnd"/>
            <w:r>
              <w:rPr>
                <w:rFonts w:asciiTheme="minorHAnsi" w:hAnsiTheme="minorHAnsi" w:cstheme="minorHAnsi"/>
                <w:sz w:val="20"/>
                <w:szCs w:val="20"/>
                <w:shd w:val="clear" w:color="auto" w:fill="FFFFFF"/>
              </w:rPr>
              <w:t>, rotacyjnej</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analiza przypadków</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48.</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zaburzeniach układu endokrynologicznego u dzieci i młodzieży</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W02, W04, W05, W07, W09, W10, W11, W12, W13, W19, W20, W21, W22, W24, W26, W27, W28,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U01, U03,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U08, U11,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U12, U13,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U16, U17,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K11</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1. Rola czynników środowiskowych w kształtowaniu nawyków u dzieci i młodzieży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t>
            </w:r>
            <w:proofErr w:type="spellStart"/>
            <w:r>
              <w:rPr>
                <w:rFonts w:asciiTheme="minorHAnsi" w:hAnsiTheme="minorHAnsi" w:cstheme="minorHAnsi"/>
                <w:sz w:val="20"/>
                <w:szCs w:val="20"/>
              </w:rPr>
              <w:t>Dietoterapia</w:t>
            </w:r>
            <w:proofErr w:type="spellEnd"/>
            <w:r>
              <w:rPr>
                <w:rFonts w:asciiTheme="minorHAnsi" w:hAnsiTheme="minorHAnsi" w:cstheme="minorHAnsi"/>
                <w:sz w:val="20"/>
                <w:szCs w:val="20"/>
              </w:rPr>
              <w:t xml:space="preserve"> wybranych zaburzeń endokrynologicznych (z wyłączeniem tych, które będą omawiane na ćwiczeniach).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Cukrzyca typu 1: definicja, kryteria, diagnostyka • Historia naturalna i leczenie cukrzycy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Obliczanie WW i WBT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Liczenie przeliczników i wrażliwości na insulinę • Ostre i przewlekłe powikłania cukrzycy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Hb1AC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Ustalanie dawek insuliny do posiłków i na korektę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Kalkulator bolusa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Zajęcia z pompą insulinową</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Część praktyczna z pacjentami – wywiad, analiza przypadków, poradnictwo żywieniowe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Otyłość prosta: definicja, kryteria, diagnostyka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Przyczyny otyłości – programowanie metaboliczne, czynniki genetyczne i kolokwium – analiza przypadku i odpowiedź ustna Strona 3 z 4 środowiskowe, </w:t>
            </w:r>
            <w:proofErr w:type="spellStart"/>
            <w:r>
              <w:rPr>
                <w:rFonts w:cstheme="minorHAnsi"/>
                <w:sz w:val="20"/>
                <w:szCs w:val="20"/>
              </w:rPr>
              <w:t>mikrobiota</w:t>
            </w:r>
            <w:proofErr w:type="spellEnd"/>
            <w:r>
              <w:rPr>
                <w:rFonts w:cstheme="minorHAnsi"/>
                <w:sz w:val="20"/>
                <w:szCs w:val="20"/>
              </w:rPr>
              <w:t>.</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Wywiad lekarski i żywieniowy – podstawa diagnostyki i leczenia nadmiernej masy ciała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Analiza wyników laboratoryjnych – kryteria zespołu metabolicznego, analiza podstawowych parametrów laboratoryjnych w kontekście powikłań otyłości, a także profilaktyki dla utrzymywania dalszego </w:t>
            </w:r>
            <w:r>
              <w:rPr>
                <w:rFonts w:cstheme="minorHAnsi"/>
                <w:sz w:val="20"/>
                <w:szCs w:val="20"/>
              </w:rPr>
              <w:lastRenderedPageBreak/>
              <w:t xml:space="preserve">prawidłowego rozwoju pacjentów.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Analiza </w:t>
            </w:r>
            <w:proofErr w:type="spellStart"/>
            <w:r>
              <w:rPr>
                <w:rFonts w:cstheme="minorHAnsi"/>
                <w:sz w:val="20"/>
                <w:szCs w:val="20"/>
              </w:rPr>
              <w:t>bioimpedancji</w:t>
            </w:r>
            <w:proofErr w:type="spellEnd"/>
            <w:r>
              <w:rPr>
                <w:rFonts w:cstheme="minorHAnsi"/>
                <w:sz w:val="20"/>
                <w:szCs w:val="20"/>
              </w:rPr>
              <w:t xml:space="preserve"> elektrycznej, pomiary </w:t>
            </w:r>
            <w:proofErr w:type="spellStart"/>
            <w:r>
              <w:rPr>
                <w:rFonts w:cstheme="minorHAnsi"/>
                <w:sz w:val="20"/>
                <w:szCs w:val="20"/>
              </w:rPr>
              <w:t>fałdomierzem</w:t>
            </w:r>
            <w:proofErr w:type="spellEnd"/>
            <w:r>
              <w:rPr>
                <w:rFonts w:cstheme="minorHAnsi"/>
                <w:sz w:val="20"/>
                <w:szCs w:val="20"/>
              </w:rPr>
              <w:t xml:space="preserv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Leczenie żywieniowe i </w:t>
            </w:r>
            <w:proofErr w:type="spellStart"/>
            <w:r>
              <w:rPr>
                <w:rFonts w:cstheme="minorHAnsi"/>
                <w:sz w:val="20"/>
                <w:szCs w:val="20"/>
              </w:rPr>
              <w:t>pozażywieniowe</w:t>
            </w:r>
            <w:proofErr w:type="spellEnd"/>
            <w:r>
              <w:rPr>
                <w:rFonts w:cstheme="minorHAnsi"/>
                <w:sz w:val="20"/>
                <w:szCs w:val="20"/>
              </w:rPr>
              <w:t xml:space="preserve"> otyłości pierwotnej i wtórnej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Powikłania otyłości prostej u dzieci - diagnostyka i </w:t>
            </w:r>
            <w:proofErr w:type="spellStart"/>
            <w:r>
              <w:rPr>
                <w:rFonts w:cstheme="minorHAnsi"/>
                <w:sz w:val="20"/>
                <w:szCs w:val="20"/>
              </w:rPr>
              <w:t>dietoterapia</w:t>
            </w:r>
            <w:proofErr w:type="spellEnd"/>
            <w:r>
              <w:rPr>
                <w:rFonts w:cstheme="minorHAnsi"/>
                <w:sz w:val="20"/>
                <w:szCs w:val="20"/>
              </w:rPr>
              <w:t xml:space="preserv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Część praktyczna z pacjentami – wywiad, analiza przypadków, poradnictwo żywieniowe</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analiza przypadku i odpowiedź ustna</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49.</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Programowanie żywieniowe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Wprowadzenie do programowania żywieniowego.</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Rola poszczególnych składników pokarmowych w programowaniu żywieniowym.</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Wpływ stanu odżywienia matki na zdrowie dziecka.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Wybrane zachowania matki mające wpływ na zdrowie dziecka.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Rola wybranych produktów spożywczych w programowaniu żywieniowym.</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Programowanie żywieniowe a funkcje poznawcze.</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Ćwiczenia: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Programowanie żywieniowe a profilaktyka otyłości.</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Programowanie żywieniowe wybranych chorób przewlekłych.</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Prenatalne i postnatalne zapobieganie alergiom pokarmowym.</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 </w:t>
            </w: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praktyce klinicznej/B. </w:t>
            </w: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rzadko występujących jednostkach chorobowych</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 W11, W13,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U16,  U10,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U07,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U05,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U08,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 xml:space="preserve">K03 </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Ćwiczenia:</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1.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padaczce lekoopornej</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2.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Wilsona</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3.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syropu klonowego (MSUD)</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4.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Parkinsona</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analiza przypadku</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51.</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Nowoczesne technologie w dietetyce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r>
              <w:rPr>
                <w:rFonts w:asciiTheme="minorHAnsi" w:eastAsia="Times New Roman" w:hAnsiTheme="minorHAnsi" w:cstheme="minorHAnsi"/>
                <w:strike/>
                <w:sz w:val="20"/>
                <w:szCs w:val="20"/>
                <w:lang w:eastAsia="pl-PL"/>
              </w:rPr>
              <w:t xml:space="preserve">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K04</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Seminaria: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1. Tele-dietetyka jako forma </w:t>
            </w:r>
            <w:proofErr w:type="spellStart"/>
            <w:r>
              <w:rPr>
                <w:rFonts w:asciiTheme="minorHAnsi" w:hAnsiTheme="minorHAnsi" w:cstheme="minorHAnsi"/>
                <w:sz w:val="20"/>
                <w:szCs w:val="20"/>
              </w:rPr>
              <w:t>tele</w:t>
            </w:r>
            <w:proofErr w:type="spellEnd"/>
            <w:r>
              <w:rPr>
                <w:rFonts w:asciiTheme="minorHAnsi" w:hAnsiTheme="minorHAnsi" w:cstheme="minorHAnsi"/>
                <w:sz w:val="20"/>
                <w:szCs w:val="20"/>
              </w:rPr>
              <w:t>-opieki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2. Monitorowanie sposobu żywienia i aktywności fizycznej przy użyciu nowoczesnych technologii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3. Metody technologicznego wspomagania </w:t>
            </w:r>
            <w:proofErr w:type="spellStart"/>
            <w:r>
              <w:rPr>
                <w:rFonts w:asciiTheme="minorHAnsi" w:hAnsiTheme="minorHAnsi" w:cstheme="minorHAnsi"/>
                <w:sz w:val="20"/>
                <w:szCs w:val="20"/>
              </w:rPr>
              <w:t>dietoprofilaktyki</w:t>
            </w:r>
            <w:proofErr w:type="spellEnd"/>
            <w:r>
              <w:rPr>
                <w:rFonts w:asciiTheme="minorHAnsi" w:hAnsiTheme="minorHAnsi" w:cstheme="minorHAnsi"/>
                <w:sz w:val="20"/>
                <w:szCs w:val="20"/>
              </w:rPr>
              <w:t xml:space="preserve"> i </w:t>
            </w:r>
            <w:proofErr w:type="spellStart"/>
            <w:r>
              <w:rPr>
                <w:rFonts w:asciiTheme="minorHAnsi" w:hAnsiTheme="minorHAnsi" w:cstheme="minorHAnsi"/>
                <w:sz w:val="20"/>
                <w:szCs w:val="20"/>
              </w:rPr>
              <w:t>dietoterapii</w:t>
            </w:r>
            <w:proofErr w:type="spellEnd"/>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Rola technologii w promowaniu zdrowego stylu życia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Wsparcie </w:t>
            </w:r>
            <w:proofErr w:type="spellStart"/>
            <w:r>
              <w:rPr>
                <w:rFonts w:asciiTheme="minorHAnsi" w:hAnsiTheme="minorHAnsi" w:cstheme="minorHAnsi"/>
                <w:sz w:val="20"/>
                <w:szCs w:val="20"/>
              </w:rPr>
              <w:t>robotyczne</w:t>
            </w:r>
            <w:proofErr w:type="spellEnd"/>
            <w:r>
              <w:rPr>
                <w:rFonts w:asciiTheme="minorHAnsi" w:hAnsiTheme="minorHAnsi" w:cstheme="minorHAnsi"/>
                <w:sz w:val="20"/>
                <w:szCs w:val="20"/>
              </w:rPr>
              <w:t xml:space="preserve"> w pracy dietetyka w zapobieganiu zaburzeniom odżywiania (jakościowym i ilościowym)</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 odpowiedź pisemna</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52.</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Podstawy przedsiębiorczości/B. Pieniądz i jego ewidencja w procesie kierowania małą firmą</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U28</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sz w:val="20"/>
              </w:rPr>
            </w:pPr>
            <w:r>
              <w:rPr>
                <w:sz w:val="20"/>
              </w:rPr>
              <w:t>Istota i zakres rachunkowości.</w:t>
            </w:r>
            <w:r>
              <w:rPr>
                <w:sz w:val="20"/>
              </w:rPr>
              <w:br/>
              <w:t>Zasady prowadzenia rachunkowości.</w:t>
            </w:r>
            <w:r>
              <w:rPr>
                <w:sz w:val="20"/>
              </w:rPr>
              <w:br/>
              <w:t>Majątek jednostki gospodarczej i źródła jego pochodzenia.</w:t>
            </w:r>
            <w:r>
              <w:rPr>
                <w:sz w:val="20"/>
              </w:rPr>
              <w:br/>
              <w:t>Operacje gospodarcze i ich wpływ na bilans jednostki gospodarczej.</w:t>
            </w:r>
            <w:r>
              <w:rPr>
                <w:sz w:val="20"/>
              </w:rPr>
              <w:br/>
              <w:t>Funkcjonowanie kont księgowych.</w:t>
            </w:r>
            <w:r>
              <w:rPr>
                <w:sz w:val="20"/>
              </w:rPr>
              <w:br/>
              <w:t>Kwalifikacja majątku podmiotu gospodarczego.</w:t>
            </w:r>
            <w:r>
              <w:rPr>
                <w:sz w:val="20"/>
              </w:rPr>
              <w:br/>
              <w:t>Bilans i jego składniki.</w:t>
            </w:r>
            <w:r>
              <w:rPr>
                <w:sz w:val="20"/>
              </w:rPr>
              <w:br/>
              <w:t>Rachunek zysków i strat.</w:t>
            </w:r>
            <w:r>
              <w:rPr>
                <w:sz w:val="20"/>
              </w:rPr>
              <w:br/>
              <w:t>Kwalifikowanie zdarzeń i operacji gospodarczych.</w:t>
            </w:r>
            <w:r>
              <w:rPr>
                <w:sz w:val="20"/>
              </w:rPr>
              <w:br/>
              <w:t>Ewidencja operacji gospodarczych.</w:t>
            </w:r>
            <w:r>
              <w:rPr>
                <w:sz w:val="20"/>
              </w:rPr>
              <w:br/>
              <w:t>Kwalifikowanie operacji gospodarczych do księgowania.</w:t>
            </w:r>
            <w:r>
              <w:rPr>
                <w:sz w:val="20"/>
              </w:rPr>
              <w:br/>
              <w:t>Korespondencja kont księgowych.</w:t>
            </w:r>
            <w:r>
              <w:rPr>
                <w:sz w:val="20"/>
              </w:rPr>
              <w:br/>
              <w:t>Otwieranie, księgowanie i zamykanie kont.</w:t>
            </w:r>
            <w:r>
              <w:rPr>
                <w:sz w:val="20"/>
              </w:rPr>
              <w:br/>
              <w:t>Sporządzanie zestawienia obrotów i sald.</w:t>
            </w:r>
            <w:r>
              <w:rPr>
                <w:sz w:val="20"/>
              </w:rPr>
              <w:br/>
              <w:t>Poprawianie błędów księgowych.</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53.</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Podstawy pierwszej pomocy medycznej</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hAnsiTheme="minorHAnsi" w:cstheme="minorHAnsi"/>
                <w:sz w:val="20"/>
                <w:szCs w:val="20"/>
                <w:shd w:val="clear" w:color="auto" w:fill="FFFFFF"/>
              </w:rPr>
            </w:pPr>
            <w:r>
              <w:rPr>
                <w:sz w:val="20"/>
              </w:rPr>
              <w:t>Ćwiczenia:</w:t>
            </w:r>
            <w:r>
              <w:rPr>
                <w:sz w:val="20"/>
              </w:rPr>
              <w:br/>
              <w:t>Pierwsza pomoc – podstawy, definicje. Łańcuch przeżycia.</w:t>
            </w:r>
            <w:r>
              <w:rPr>
                <w:sz w:val="20"/>
              </w:rPr>
              <w:br/>
              <w:t>Podstawowe metody podtrzymywania życia u osób dorosłych Algorytm CPR-AED (algorytm podstawowych metod podtrzymywania życia łącznie z zastosowaniem, automatycznego defibrylatora zewnętrznego).</w:t>
            </w:r>
            <w:r>
              <w:rPr>
                <w:sz w:val="20"/>
              </w:rPr>
              <w:br/>
            </w:r>
            <w:r>
              <w:rPr>
                <w:sz w:val="20"/>
              </w:rPr>
              <w:lastRenderedPageBreak/>
              <w:t>Postępowanie w obrażeniach mechanicznych, chemicznych, termicznych. Podstawy badania urazowego.</w:t>
            </w:r>
            <w:r>
              <w:rPr>
                <w:sz w:val="20"/>
              </w:rPr>
              <w:br/>
              <w:t>Podstawowe metody podtrzymywania życia u niemowląt i dzieci .</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DOPS</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54.</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Prawo i ekonomika w ochronie zdrowia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Style w:val="markedcontent"/>
                <w:szCs w:val="28"/>
              </w:rPr>
            </w:pPr>
            <w:r>
              <w:rPr>
                <w:rStyle w:val="markedcontent"/>
                <w:rFonts w:asciiTheme="minorHAnsi" w:hAnsiTheme="minorHAnsi" w:cstheme="minorHAnsi"/>
                <w:sz w:val="20"/>
                <w:szCs w:val="28"/>
              </w:rPr>
              <w:t>Wykłady:</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1. System ochrony zdrowia w Polsce. Organizacja i finansowanie systemu ochrony zdrowia na tle wybranych krajów OECD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2. Prawo medyczne – podstawy prawa w ochronie zdrowia. Prawa pacjenta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3. Wybrane obszary prawodawstwa żywieniowego.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4. Odpowiedzialność cywilna i karna w zawodach medycznych. Zdarzenia niepożądane i błąd </w:t>
            </w:r>
            <w:r>
              <w:rPr>
                <w:rFonts w:asciiTheme="minorHAnsi" w:hAnsiTheme="minorHAnsi" w:cstheme="minorHAnsi"/>
                <w:sz w:val="16"/>
              </w:rPr>
              <w:br/>
            </w:r>
            <w:r>
              <w:rPr>
                <w:rStyle w:val="markedcontent"/>
                <w:rFonts w:asciiTheme="minorHAnsi" w:hAnsiTheme="minorHAnsi" w:cstheme="minorHAnsi"/>
                <w:sz w:val="20"/>
                <w:szCs w:val="28"/>
              </w:rPr>
              <w:t xml:space="preserve">medyczny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5. Jakość w opiece zdrowotnej – od teorii do praktyki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6. Prawne aspekty wykonywania zawody dietetyka. Podstawy prawa pracy i prawa </w:t>
            </w:r>
            <w:r>
              <w:rPr>
                <w:rFonts w:asciiTheme="minorHAnsi" w:hAnsiTheme="minorHAnsi" w:cstheme="minorHAnsi"/>
                <w:sz w:val="16"/>
              </w:rPr>
              <w:br/>
            </w:r>
            <w:r>
              <w:rPr>
                <w:rStyle w:val="markedcontent"/>
                <w:rFonts w:asciiTheme="minorHAnsi" w:hAnsiTheme="minorHAnsi" w:cstheme="minorHAnsi"/>
                <w:sz w:val="20"/>
                <w:szCs w:val="28"/>
              </w:rPr>
              <w:t xml:space="preserve">gospodarczego. Formy prowadzenia działalności gospodarczej. </w:t>
            </w:r>
            <w:r>
              <w:rPr>
                <w:rFonts w:asciiTheme="minorHAnsi" w:hAnsiTheme="minorHAnsi" w:cstheme="minorHAnsi"/>
                <w:sz w:val="16"/>
              </w:rPr>
              <w:br/>
            </w:r>
            <w:r>
              <w:rPr>
                <w:rStyle w:val="markedcontent"/>
                <w:rFonts w:asciiTheme="minorHAnsi" w:hAnsiTheme="minorHAnsi" w:cstheme="minorHAnsi"/>
                <w:sz w:val="20"/>
                <w:szCs w:val="28"/>
              </w:rPr>
              <w:t>Ćwiczenia</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 1. Funkcje systemu ochrony zdrowia. Cele i zadania na przykładzie NPZ. Programy profilaktyki zdrowotnej i promocji zdrowia w obszarze dietetyki.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2. Systemy ochrony zdrowia w wybranych krajach UE. Podstawowe modele systemu ochrony </w:t>
            </w:r>
            <w:r>
              <w:rPr>
                <w:rFonts w:asciiTheme="minorHAnsi" w:hAnsiTheme="minorHAnsi" w:cstheme="minorHAnsi"/>
                <w:sz w:val="16"/>
              </w:rPr>
              <w:br/>
            </w:r>
            <w:r>
              <w:rPr>
                <w:rStyle w:val="markedcontent"/>
                <w:rFonts w:asciiTheme="minorHAnsi" w:hAnsiTheme="minorHAnsi" w:cstheme="minorHAnsi"/>
                <w:sz w:val="20"/>
                <w:szCs w:val="28"/>
              </w:rPr>
              <w:t xml:space="preserve">zdrowia: zabezpieczeniowy, ubezpieczeniowy, hybrydowy. Kontraktowanie świadczeń.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3. Jakość i bezpieczeństwo leczenia w praktyce szpitalnej – narzędzia poprawy jakości, techniki pomiaru jakości usług medycznych, interdyscyplinarny zespół terapeutyczny a jakość </w:t>
            </w:r>
            <w:r>
              <w:rPr>
                <w:rFonts w:asciiTheme="minorHAnsi" w:hAnsiTheme="minorHAnsi" w:cstheme="minorHAnsi"/>
                <w:sz w:val="16"/>
              </w:rPr>
              <w:br/>
            </w:r>
            <w:r>
              <w:rPr>
                <w:rStyle w:val="markedcontent"/>
                <w:rFonts w:asciiTheme="minorHAnsi" w:hAnsiTheme="minorHAnsi" w:cstheme="minorHAnsi"/>
                <w:sz w:val="20"/>
                <w:szCs w:val="28"/>
              </w:rPr>
              <w:t xml:space="preserve">świadczeń medycznych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4. Jakość certyfikowana – akredytacja i system zarządzania jakością zgodny z </w:t>
            </w:r>
            <w:r>
              <w:rPr>
                <w:rStyle w:val="markedcontent"/>
                <w:rFonts w:asciiTheme="minorHAnsi" w:hAnsiTheme="minorHAnsi" w:cstheme="minorHAnsi"/>
                <w:sz w:val="20"/>
                <w:szCs w:val="28"/>
              </w:rPr>
              <w:lastRenderedPageBreak/>
              <w:t xml:space="preserve">normą ISO </w:t>
            </w:r>
            <w:r>
              <w:rPr>
                <w:rFonts w:asciiTheme="minorHAnsi" w:hAnsiTheme="minorHAnsi" w:cstheme="minorHAnsi"/>
                <w:sz w:val="16"/>
              </w:rPr>
              <w:br/>
            </w:r>
            <w:r>
              <w:rPr>
                <w:rStyle w:val="markedcontent"/>
                <w:rFonts w:asciiTheme="minorHAnsi" w:hAnsiTheme="minorHAnsi" w:cstheme="minorHAnsi"/>
                <w:sz w:val="20"/>
                <w:szCs w:val="28"/>
              </w:rPr>
              <w:t xml:space="preserve">9001:200 w obszarze żywienia pacjentów.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5. Ekonomika ochrony zdrowia: ekonomiczna ocena usług zdrowotnych, farmakoekonomika, </w:t>
            </w:r>
            <w:r>
              <w:rPr>
                <w:rFonts w:asciiTheme="minorHAnsi" w:hAnsiTheme="minorHAnsi" w:cstheme="minorHAnsi"/>
                <w:sz w:val="16"/>
              </w:rPr>
              <w:br/>
            </w:r>
            <w:r>
              <w:rPr>
                <w:rStyle w:val="markedcontent"/>
                <w:rFonts w:asciiTheme="minorHAnsi" w:hAnsiTheme="minorHAnsi" w:cstheme="minorHAnsi"/>
                <w:sz w:val="20"/>
                <w:szCs w:val="28"/>
              </w:rPr>
              <w:t xml:space="preserve">makroekonomia zdrowia. </w:t>
            </w:r>
          </w:p>
          <w:p w:rsidR="00373AC5" w:rsidRDefault="00373AC5">
            <w:pPr>
              <w:spacing w:after="0" w:line="240" w:lineRule="auto"/>
              <w:rPr>
                <w:szCs w:val="20"/>
                <w:shd w:val="clear" w:color="auto" w:fill="FFFFFF"/>
              </w:rPr>
            </w:pPr>
            <w:r>
              <w:rPr>
                <w:rStyle w:val="markedcontent"/>
                <w:rFonts w:asciiTheme="minorHAnsi" w:hAnsiTheme="minorHAnsi" w:cstheme="minorHAnsi"/>
                <w:sz w:val="20"/>
                <w:szCs w:val="28"/>
              </w:rPr>
              <w:t xml:space="preserve">6. Zarządzanie finansami w praktyce medycznej: podstawy zarządzania finansami w instytucjach opieki zdrowotnej, próg rentowności i potencjał rynkowy, rachunek kosztów, leasing i kredyty. </w:t>
            </w:r>
            <w:r>
              <w:rPr>
                <w:rFonts w:asciiTheme="minorHAnsi" w:hAnsiTheme="minorHAnsi" w:cstheme="minorHAnsi"/>
                <w:sz w:val="16"/>
              </w:rPr>
              <w:br/>
            </w:r>
            <w:r>
              <w:rPr>
                <w:rStyle w:val="markedcontent"/>
                <w:rFonts w:asciiTheme="minorHAnsi" w:hAnsiTheme="minorHAnsi" w:cstheme="minorHAnsi"/>
                <w:sz w:val="20"/>
                <w:szCs w:val="28"/>
              </w:rPr>
              <w:t>7. Sytuacja żywnościowa i żywieniowa w Polsce i wybranych krajach na świecie.</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55.</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Umiejętności społeczne w dietetyce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Przedmiot psychologii społecznej i podstawowe terminy dotyczące kompetencji społecznych w zawodzie dietetyka.</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Podstawy komunikowania społecznego. </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Pojęcie komunikacji, transakcji, interakcji-rodzaje, główne modele komunikacyjne.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Cechy komunikacji, cel, poziomy komunikowania w społeczeństwie.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Elementy procesu komunikowania, rola kontekstu.</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Sposoby i formy porozumiewania się ludzi- komunikowanie interpersonalne bezpośrednie, medialne, pośrednie (masowe), werbalne i niewerbalne. </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Grupy sygnałów w komunikacji niewerbalnej, funkcje komunikacji niewerbalnej. Różnice pomiędzy komunikatem werbalnym a niewerbalnym.</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Wywieranie wpływu na ludzi- strategie i techniki. Wywieranie wpływu przez grupy- stereotypy, uprzedzenia, konformizm, nonkonformizm.</w:t>
            </w:r>
            <w:r>
              <w:rPr>
                <w:rFonts w:asciiTheme="minorHAnsi" w:eastAsia="Times New Roman" w:hAnsiTheme="minorHAnsi" w:cstheme="minorHAnsi"/>
                <w:sz w:val="20"/>
                <w:szCs w:val="24"/>
                <w:lang w:eastAsia="pl-PL"/>
              </w:rPr>
              <w:br/>
              <w:t xml:space="preserve">9 Efektywna współpraca. Przygotowanie do </w:t>
            </w:r>
            <w:r>
              <w:rPr>
                <w:rFonts w:asciiTheme="minorHAnsi" w:eastAsia="Times New Roman" w:hAnsiTheme="minorHAnsi" w:cstheme="minorHAnsi"/>
                <w:sz w:val="20"/>
                <w:szCs w:val="24"/>
                <w:lang w:eastAsia="pl-PL"/>
              </w:rPr>
              <w:lastRenderedPageBreak/>
              <w:t>współpracy, zasady wzbudzania sympatii, wybrane cechy grupy, strategie podejmowane przez członków grupy a wywieranie wpływu.</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Rozwiązywanie konfliktów- specyfika konfliktu, radzenie sobie w sytuacji konfliktowej, mediacje, mediacje negocjacje.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Komunikacja z klientem specyficznym. </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56.</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Suplementy diety - analiza</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K03</w:t>
            </w:r>
          </w:p>
        </w:tc>
        <w:tc>
          <w:tcPr>
            <w:tcW w:w="2813"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cs="Calibri"/>
                <w:sz w:val="20"/>
                <w:szCs w:val="20"/>
              </w:rPr>
            </w:pP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Suplementy diety – teoria</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 xml:space="preserve">Biochemiczne właściwości substancji, które nie powinny wchodzić w skład suplementów diety (pankreatyna, </w:t>
            </w:r>
            <w:proofErr w:type="spellStart"/>
            <w:r>
              <w:rPr>
                <w:rFonts w:cs="Calibri"/>
                <w:sz w:val="20"/>
                <w:szCs w:val="20"/>
              </w:rPr>
              <w:t>ibutamoren</w:t>
            </w:r>
            <w:proofErr w:type="spellEnd"/>
            <w:r>
              <w:rPr>
                <w:rFonts w:cs="Calibri"/>
                <w:sz w:val="20"/>
                <w:szCs w:val="20"/>
              </w:rPr>
              <w:t xml:space="preserve">, DMAA, chlorowodorek johimbiny, pieprz </w:t>
            </w:r>
            <w:proofErr w:type="spellStart"/>
            <w:r>
              <w:rPr>
                <w:rFonts w:cs="Calibri"/>
                <w:sz w:val="20"/>
                <w:szCs w:val="20"/>
              </w:rPr>
              <w:t>metystynowy</w:t>
            </w:r>
            <w:proofErr w:type="spellEnd"/>
            <w:r>
              <w:rPr>
                <w:rFonts w:cs="Calibri"/>
                <w:sz w:val="20"/>
                <w:szCs w:val="20"/>
              </w:rPr>
              <w:t xml:space="preserve">, </w:t>
            </w:r>
            <w:proofErr w:type="spellStart"/>
            <w:r>
              <w:rPr>
                <w:rFonts w:cs="Calibri"/>
                <w:sz w:val="20"/>
                <w:szCs w:val="20"/>
              </w:rPr>
              <w:t>ostaryna</w:t>
            </w:r>
            <w:proofErr w:type="spellEnd"/>
            <w:r>
              <w:rPr>
                <w:rFonts w:cs="Calibri"/>
                <w:sz w:val="20"/>
                <w:szCs w:val="20"/>
              </w:rPr>
              <w:t xml:space="preserve">, </w:t>
            </w:r>
            <w:proofErr w:type="spellStart"/>
            <w:r>
              <w:rPr>
                <w:rFonts w:cs="Calibri"/>
                <w:sz w:val="20"/>
                <w:szCs w:val="20"/>
              </w:rPr>
              <w:t>ligandrol</w:t>
            </w:r>
            <w:proofErr w:type="spellEnd"/>
            <w:r>
              <w:rPr>
                <w:rFonts w:cs="Calibri"/>
                <w:sz w:val="20"/>
                <w:szCs w:val="20"/>
              </w:rPr>
              <w:t xml:space="preserve">). </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Interakcje zachodzące pomiędzy składnikami żywności a suplementami diety.</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 xml:space="preserve">Zagrożenia wynikające  ze stosowania nadmiaru suplementów diety. </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Badanie jakości suplementów diety (oznaczenie zawartości składników czynnych, zanieczyszczeń).</w:t>
            </w:r>
          </w:p>
          <w:p w:rsidR="00373AC5" w:rsidRDefault="00373AC5">
            <w:pPr>
              <w:spacing w:after="0" w:line="240" w:lineRule="auto"/>
              <w:rPr>
                <w:rFonts w:cs="Calibri"/>
                <w:sz w:val="20"/>
                <w:szCs w:val="20"/>
              </w:rPr>
            </w:pPr>
            <w:r>
              <w:rPr>
                <w:rFonts w:cs="Calibri"/>
                <w:sz w:val="20"/>
                <w:szCs w:val="20"/>
              </w:rPr>
              <w:br/>
            </w:r>
          </w:p>
          <w:p w:rsidR="00373AC5" w:rsidRDefault="00373AC5">
            <w:pPr>
              <w:spacing w:after="0" w:line="240" w:lineRule="auto"/>
              <w:rPr>
                <w:rFonts w:cs="Calibri"/>
                <w:sz w:val="20"/>
                <w:szCs w:val="20"/>
              </w:rPr>
            </w:pP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57.</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Fakultety</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 (3+3+2)</w:t>
            </w:r>
          </w:p>
        </w:tc>
        <w:tc>
          <w:tcPr>
            <w:tcW w:w="37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hAnsiTheme="minorHAnsi" w:cstheme="minorHAnsi"/>
                <w:sz w:val="20"/>
                <w:szCs w:val="20"/>
                <w:shd w:val="clear" w:color="auto" w:fill="FFFFFF"/>
              </w:rPr>
            </w:pPr>
          </w:p>
        </w:tc>
        <w:tc>
          <w:tcPr>
            <w:tcW w:w="2813"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cs="Calibri"/>
                <w:color w:val="000000"/>
                <w:sz w:val="20"/>
                <w:szCs w:val="20"/>
              </w:rPr>
            </w:pP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58.</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Praktyki studenckie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24 (3+3+18)</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lastRenderedPageBreak/>
              <w:t>U03,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K08</w:t>
            </w:r>
          </w:p>
        </w:tc>
        <w:tc>
          <w:tcPr>
            <w:tcW w:w="2813"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cs="Calibri"/>
                <w:color w:val="000000"/>
                <w:sz w:val="20"/>
                <w:szCs w:val="20"/>
              </w:rPr>
            </w:pPr>
            <w:r>
              <w:rPr>
                <w:rFonts w:cs="Calibri"/>
                <w:color w:val="000000"/>
                <w:sz w:val="20"/>
                <w:szCs w:val="20"/>
              </w:rPr>
              <w:lastRenderedPageBreak/>
              <w:t>Praktyki na oddziale szpitalnym dla dorosłych (I rok)</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Udział w przygotowywaniu warunków do spożywania posiłków dla chorego na oddziale szpitalnym.</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Udział w porcjowaniu i rozdzielaniu posiłków dla chorych hospitalizowanych.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lastRenderedPageBreak/>
              <w:t>Pomoc w żywieniu pacjentów ciężko chorych wymagających karmienia przez drugą osobę.</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z pacjentami, ocena sposobu żywienia i stanu odżywienia wskazanych pacjentów (minimum 3 chorych).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Edukacja żywieniowa wśród pacjentów – organizacja i prowadzenie zajęć edukacyjnych                    z zakresu prawidłowego żywienia dla chorych.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Propagowanie racjonalnego żywienia wśród osób odwiedzających pacjentów.</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Uczestniczenie w opracowywaniu diet indywidualnych dla chorych po hospitalizacji oraz wydawanie zaleceń dietetycznych osobom wypisywanym ze szpitala.</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Poznanie zasad prowadzenia dokumentacji pacjentów i pomoc w jej sporządzaniu.</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Zapoznanie się z kalkulacją kosztów w dziale żywienia oraz z obiegiem dokumentacji działu żywienia.</w:t>
            </w:r>
          </w:p>
          <w:p w:rsidR="00373AC5" w:rsidRDefault="00373AC5">
            <w:pPr>
              <w:spacing w:after="0" w:line="240" w:lineRule="auto"/>
              <w:rPr>
                <w:rFonts w:cs="Calibri"/>
                <w:color w:val="000000"/>
                <w:sz w:val="20"/>
                <w:szCs w:val="20"/>
              </w:rPr>
            </w:pPr>
            <w:r>
              <w:rPr>
                <w:rFonts w:cs="Calibri"/>
                <w:color w:val="000000"/>
                <w:sz w:val="20"/>
                <w:szCs w:val="20"/>
              </w:rPr>
              <w:t>Praktyki w poradni dietetycznej, gabinecie lekarskim, klinice lub poradni przyszpitalnej (II rok)</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Towarzyszenie dietetykom/lekarzom przy udzielaniu pacjentom porad terapeutycznych.</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 xml:space="preserve">Przeprowadzanie podstawowych badań antropometrycznych (masa ciała, wzrost, BMI, obwód talii, obwód bioder, analiza składu ciała). </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 xml:space="preserve">Opracowywanie założeń diety dla wybranych pacjentów (minimum 3), w tym ustalanie </w:t>
            </w:r>
            <w:r>
              <w:rPr>
                <w:rFonts w:cs="Calibri"/>
                <w:color w:val="000000"/>
                <w:sz w:val="20"/>
                <w:szCs w:val="20"/>
              </w:rPr>
              <w:lastRenderedPageBreak/>
              <w:t>zapotrzebowania energetycznego i wartości odżywczej, stworzenie listy produktów zalecanych i przeciwwskazanych w danej jednostce chorobowej wraz z objaśnieniem założeń diety pacjentom.</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Poznanie zasad prowadzenia kartoteki pacjentów w poradni/przychodni i pomoc w jej sporządzaniu.</w:t>
            </w:r>
          </w:p>
          <w:p w:rsidR="00373AC5" w:rsidRDefault="00373AC5">
            <w:pPr>
              <w:spacing w:after="0" w:line="240" w:lineRule="auto"/>
              <w:rPr>
                <w:rFonts w:cs="Calibri"/>
                <w:color w:val="000000"/>
                <w:sz w:val="20"/>
                <w:szCs w:val="20"/>
              </w:rPr>
            </w:pPr>
            <w:r>
              <w:rPr>
                <w:rFonts w:cs="Calibri"/>
                <w:color w:val="000000"/>
                <w:sz w:val="20"/>
                <w:szCs w:val="20"/>
              </w:rPr>
              <w:t>Praktyki na oddziale szpitalnym dla dzieci (III rok)</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 xml:space="preserve">Uczestniczenie w pracach zespołu lekarskiego i w wizytach lekarskich, zapoznanie się                        z podstawową dokumentacją dotyczącą rozpoznania, leczenia i przebiegu choroby. </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z rodzicami dzieci hospitalizowanych, ocena sposobu żywienia i stanu odżywienia wskazanych pacjentów (minimum 3 dzieci).</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 xml:space="preserve">Udział w pracach kuchni mlecznej, przygotowywanie i dostarczanie na oddział mieszanek mlecznych i posiłków dla dzieci. </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Uczestniczenie w opracowywaniu diet indywidualnych dla dzieci po hospitalizacji oraz wydawanie zaleceń dietetycznych rodzicom dzieci wypisywanych ze szpitala.</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Codziennie zajęcia przy łóżku chorego dziecka: pomoc w karmieniu i pojeniu, prowadzenie dobowego bilansu płynów wybranych pacjentów, edukacja żywieniowa dzieci i rodziców.</w:t>
            </w:r>
          </w:p>
          <w:p w:rsidR="00373AC5" w:rsidRDefault="00373AC5">
            <w:pPr>
              <w:spacing w:after="0" w:line="240" w:lineRule="auto"/>
              <w:rPr>
                <w:rFonts w:cs="Calibri"/>
                <w:color w:val="000000"/>
                <w:sz w:val="20"/>
                <w:szCs w:val="20"/>
              </w:rPr>
            </w:pPr>
            <w:r>
              <w:rPr>
                <w:rFonts w:cs="Calibri"/>
                <w:color w:val="000000"/>
                <w:sz w:val="20"/>
                <w:szCs w:val="20"/>
              </w:rPr>
              <w:lastRenderedPageBreak/>
              <w:t>Praktyki na oddziale szpitalnym dla dorosłych (III rok)</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Uczestniczenie w pracach zespołu lekarskiego i w wizytach lekarskich, zapoznanie się                     z podstawową dokumentacją dotyczącą rozpoznania, leczenia i przebiegu choroby.</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Przeprowadzanie wywiadów żywieniowych z pacjentami, ocena sposobu żywienia i stanu odżywienia wskazanych pacjentów (minimum 3 chorych).</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Zaplanowanie tygodniowego programu żywieniowego dla wybranego pacjenta z daną jednostką chorobową.</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Codziennie zajęcia przy łóżku chorego: karmienie i pojenie pacjentów wymagających szczególnej opieki, prowadzenie dobowego bilansu płynów wybranych pacjentów, edukacja żywieniowa.</w:t>
            </w:r>
          </w:p>
          <w:p w:rsidR="00373AC5" w:rsidRDefault="00373AC5">
            <w:pPr>
              <w:spacing w:after="0" w:line="240" w:lineRule="auto"/>
              <w:rPr>
                <w:rFonts w:cs="Calibri"/>
                <w:color w:val="000000"/>
                <w:sz w:val="20"/>
                <w:szCs w:val="20"/>
              </w:rPr>
            </w:pPr>
            <w:r>
              <w:rPr>
                <w:rFonts w:cs="Calibri"/>
                <w:color w:val="000000"/>
                <w:sz w:val="20"/>
                <w:szCs w:val="20"/>
              </w:rPr>
              <w:t>Praktyki w poradni specjalistycznej dla dorosłych lub dla dzieci i młodzieży (np. poradnia diabetologiczna, endokrynologiczna i inne) (III rok)</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Towarzyszenie lekarzom przy udzielaniu pacjentom porad terapeutycznych.</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 xml:space="preserve">Przeprowadzanie podstawowych badań antropometrycznych (masa ciała, wzrost, BMI, obwód talii, obwód bioder, analiza składu ciała). </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Zaplanowanie tygodniowego programu żywieniowego dla wybranego pacjenta z daną jednostką chorobową.</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 xml:space="preserve">Poznanie zasad prowadzenia kartoteki pacjentów w </w:t>
            </w:r>
            <w:r>
              <w:rPr>
                <w:rFonts w:cs="Calibri"/>
                <w:color w:val="000000"/>
                <w:kern w:val="24"/>
                <w:sz w:val="20"/>
                <w:szCs w:val="20"/>
              </w:rPr>
              <w:lastRenderedPageBreak/>
              <w:t>poradni/przychodni i pomoc w jej sporządzaniu.</w:t>
            </w:r>
          </w:p>
          <w:p w:rsidR="00373AC5" w:rsidRDefault="00373AC5">
            <w:pPr>
              <w:spacing w:after="0" w:line="240" w:lineRule="auto"/>
              <w:rPr>
                <w:rFonts w:cs="Calibri"/>
                <w:color w:val="000000"/>
                <w:sz w:val="20"/>
                <w:szCs w:val="20"/>
              </w:rPr>
            </w:pPr>
            <w:r>
              <w:rPr>
                <w:rFonts w:cs="Calibri"/>
                <w:color w:val="000000"/>
                <w:sz w:val="20"/>
                <w:szCs w:val="20"/>
              </w:rPr>
              <w:t>Praktyki w placówce opieki nad osobami starszymi (np. Dom Pomocy Społecznej, Klub Seniora, oddział geriatryczny i inne) (III rok)</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Poznanie zasad organizacji i realizacji żywienia w danej placówce sprawującej opiekę nad osobami starszymi.</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Udział w przygotowywaniu, porcjowaniu i rozdzielaniu posiłków.</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Pomoc w żywieniu osób wymagających karmienia.</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i dokonywanie oceny sposobu żywienia                      i stanu odżywiania podopiecznych (identyfikacja osób zagrożonych niedożywieniem).</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Prowadzenie edukacji żywieniowej indywidualnej i grupowej.</w:t>
            </w:r>
          </w:p>
          <w:p w:rsidR="00373AC5" w:rsidRDefault="00373AC5">
            <w:pPr>
              <w:spacing w:after="0" w:line="240" w:lineRule="auto"/>
              <w:rPr>
                <w:rFonts w:cs="Calibri"/>
                <w:color w:val="000000"/>
                <w:sz w:val="20"/>
                <w:szCs w:val="20"/>
              </w:rPr>
            </w:pPr>
            <w:r>
              <w:rPr>
                <w:rFonts w:cs="Calibri"/>
                <w:color w:val="000000"/>
                <w:sz w:val="20"/>
                <w:szCs w:val="20"/>
              </w:rPr>
              <w:t>Praktyki w zakładzie technologii potraw (placówka żywienia zbiorowego, np. stołówka szkolna, stołówka pracownicza, restauracja i inne) (III rok)</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 xml:space="preserve">Poznanie zasad współpracy personelu (kucharz, dietetyk, pomoc kuchenna, intendent, magazynier). </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Zapoznanie się z organizacją pracy kuchni, z wyposażeniem technicznym ze szczególnym uwzględnieniem pomieszczeń magazynowych, produkcyjnych i ekspedycyjnych,                                 z funkcjonalnością pomieszczeń i usytuowaniem poszczególnych stanowisk pracy.</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lastRenderedPageBreak/>
              <w:t>Zapoznanie się z zaleceniami żywieniowymi funkcjonującymi w danym zakładzie żywienia zbiorowego oraz z zasadami układania jadłospisów i kart menu.</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Zaznajomienie się z technologicznymi, ekonomicznymi i zdrowotnymi aspektami kolejnych etapów produkcji potraw (ze szczególnym uwzględnieniem momentów newralgicznych).</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Poznanie przepisów sanitarno-higienicznych i BHP oraz zasad funkcjonowania zakładowych systemów GMP, GHP oraz HACCP.</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 xml:space="preserve">Zapoznanie się z zasadami optymalizacja warunków przechowalniczych dla różnych surowców, półproduktów i gotowych wyrobów. Ocen wpływu przechowywania na wartość odżywczą żywności. </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Zaznajomienie się z procesem technologii potraw, w tym ze sposobami przeprowadzania obróbki wstępnej surowców oraz obróbki cieplnej stosowanej w technologii potraw oraz ich wpływem na żywność (zmiany zachodzące w składnikach żywności).</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Poznanie zasad kontroli jakości żywności.</w:t>
            </w: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 Portfolio</w:t>
            </w: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59.</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Seminarium licencjackie</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379" w:type="pct"/>
            <w:tcBorders>
              <w:top w:val="single" w:sz="4" w:space="0" w:color="auto"/>
              <w:left w:val="single" w:sz="4" w:space="0" w:color="auto"/>
              <w:bottom w:val="single" w:sz="4" w:space="0" w:color="auto"/>
              <w:right w:val="single" w:sz="4" w:space="0" w:color="auto"/>
            </w:tcBorders>
            <w:hideMark/>
          </w:tcPr>
          <w:p w:rsidR="00373AC5" w:rsidRDefault="00373AC5">
            <w:pPr>
              <w:rPr>
                <w:rFonts w:asciiTheme="minorHAnsi" w:eastAsia="Times New Roman" w:hAnsiTheme="minorHAnsi" w:cstheme="minorHAnsi"/>
                <w:sz w:val="20"/>
                <w:szCs w:val="20"/>
                <w:lang w:eastAsia="pl-PL"/>
              </w:rPr>
            </w:pPr>
          </w:p>
        </w:tc>
        <w:tc>
          <w:tcPr>
            <w:tcW w:w="281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pPr>
            <w:r>
              <w:t xml:space="preserve">Przygotowanie do pisania pracy licencjackiej na temat wybrany przez studenta.  </w:t>
            </w:r>
          </w:p>
          <w:p w:rsidR="00373AC5" w:rsidRDefault="00373AC5">
            <w:pPr>
              <w:spacing w:after="0" w:line="240" w:lineRule="auto"/>
              <w:rPr>
                <w:rFonts w:asciiTheme="minorHAnsi" w:eastAsia="Times New Roman" w:hAnsiTheme="minorHAnsi" w:cstheme="minorHAnsi"/>
                <w:sz w:val="20"/>
                <w:szCs w:val="20"/>
                <w:lang w:eastAsia="pl-PL"/>
              </w:rPr>
            </w:pPr>
            <w:r>
              <w:t xml:space="preserve">Przygotowanie planu pracy oraz zagadnień, które będą poruszane w pracy. Poszukiwanie i wybór </w:t>
            </w:r>
            <w:proofErr w:type="spellStart"/>
            <w:r>
              <w:t>żródeł</w:t>
            </w:r>
            <w:proofErr w:type="spellEnd"/>
            <w:r>
              <w:t xml:space="preserve">.  Nauka narzędzi edycyjnych oraz programu do tworzenia bibliografii. </w:t>
            </w:r>
            <w:r>
              <w:lastRenderedPageBreak/>
              <w:t>Cykliczne spotkania z promotorem w celu omówienia postępu prac.</w:t>
            </w:r>
          </w:p>
        </w:tc>
        <w:tc>
          <w:tcPr>
            <w:tcW w:w="563"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373AC5">
        <w:trPr>
          <w:trHeight w:val="315"/>
        </w:trPr>
        <w:tc>
          <w:tcPr>
            <w:tcW w:w="227"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65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Przygotowanie pracy lic. i do egzaminu lic</w:t>
            </w:r>
          </w:p>
        </w:tc>
        <w:tc>
          <w:tcPr>
            <w:tcW w:w="36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w:t>
            </w:r>
          </w:p>
        </w:tc>
        <w:tc>
          <w:tcPr>
            <w:tcW w:w="37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rPr>
                <w:rFonts w:asciiTheme="minorHAnsi" w:eastAsia="Times New Roman" w:hAnsiTheme="minorHAnsi" w:cstheme="minorHAnsi"/>
                <w:sz w:val="20"/>
                <w:szCs w:val="20"/>
                <w:lang w:eastAsia="pl-PL"/>
              </w:rPr>
            </w:pPr>
          </w:p>
        </w:tc>
        <w:tc>
          <w:tcPr>
            <w:tcW w:w="2813" w:type="pct"/>
            <w:tcBorders>
              <w:top w:val="single" w:sz="4" w:space="0" w:color="auto"/>
              <w:left w:val="single" w:sz="4" w:space="0" w:color="auto"/>
              <w:bottom w:val="single" w:sz="4" w:space="0" w:color="auto"/>
              <w:right w:val="single" w:sz="4" w:space="0" w:color="auto"/>
            </w:tcBorders>
            <w:vAlign w:val="center"/>
          </w:tcPr>
          <w:p w:rsidR="00373AC5" w:rsidRDefault="00373AC5">
            <w:r>
              <w:t xml:space="preserve">Pisanie pracy. Edycja i redakcja przygotowanego materiału. </w:t>
            </w:r>
          </w:p>
          <w:p w:rsidR="00373AC5" w:rsidRDefault="00373AC5">
            <w:pPr>
              <w:spacing w:after="0" w:line="240" w:lineRule="auto"/>
              <w:jc w:val="center"/>
              <w:rPr>
                <w:rFonts w:asciiTheme="minorHAnsi" w:hAnsiTheme="minorHAnsi" w:cstheme="minorHAnsi"/>
                <w:sz w:val="20"/>
                <w:szCs w:val="20"/>
                <w:shd w:val="clear" w:color="auto" w:fill="FFFFFF"/>
              </w:rPr>
            </w:pPr>
          </w:p>
        </w:tc>
        <w:tc>
          <w:tcPr>
            <w:tcW w:w="563"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DYPLOMOWY</w:t>
            </w:r>
          </w:p>
        </w:tc>
      </w:tr>
    </w:tbl>
    <w:p w:rsidR="00373AC5" w:rsidRDefault="00373AC5" w:rsidP="00373AC5">
      <w:pPr>
        <w:spacing w:after="0" w:line="240" w:lineRule="auto"/>
        <w:contextualSpacing/>
        <w:rPr>
          <w:rFonts w:asciiTheme="minorHAnsi" w:hAnsiTheme="minorHAnsi" w:cstheme="minorHAnsi"/>
          <w:b/>
          <w:color w:val="FF0000"/>
          <w:sz w:val="20"/>
          <w:szCs w:val="20"/>
        </w:rPr>
      </w:pPr>
    </w:p>
    <w:p w:rsidR="00373AC5" w:rsidRDefault="00373AC5" w:rsidP="00373AC5">
      <w:pPr>
        <w:spacing w:after="0" w:line="240" w:lineRule="auto"/>
        <w:contextualSpacing/>
        <w:rPr>
          <w:rFonts w:asciiTheme="minorHAnsi" w:hAnsiTheme="minorHAnsi" w:cstheme="minorHAnsi"/>
          <w:b/>
          <w:color w:val="FF0000"/>
          <w:sz w:val="20"/>
          <w:szCs w:val="20"/>
        </w:rPr>
      </w:pPr>
      <w:r>
        <w:rPr>
          <w:rFonts w:asciiTheme="minorHAnsi" w:hAnsiTheme="minorHAnsi" w:cstheme="minorHAnsi"/>
          <w:b/>
          <w:color w:val="FF0000"/>
          <w:sz w:val="20"/>
          <w:szCs w:val="20"/>
        </w:rPr>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908"/>
      </w:tblGrid>
      <w:tr w:rsidR="00373AC5" w:rsidTr="00373AC5">
        <w:trPr>
          <w:trHeight w:val="315"/>
        </w:trPr>
        <w:tc>
          <w:tcPr>
            <w:tcW w:w="5000" w:type="pct"/>
            <w:tcBorders>
              <w:top w:val="single" w:sz="12" w:space="0" w:color="auto"/>
              <w:left w:val="nil"/>
              <w:bottom w:val="single" w:sz="12" w:space="0" w:color="auto"/>
              <w:right w:val="nil"/>
            </w:tcBorders>
            <w:vAlign w:val="center"/>
            <w:hideMark/>
          </w:tcPr>
          <w:p w:rsidR="00373AC5" w:rsidRDefault="00373AC5">
            <w:pPr>
              <w:spacing w:after="0" w:line="240" w:lineRule="auto"/>
              <w:jc w:val="center"/>
              <w:rPr>
                <w:rFonts w:asciiTheme="minorHAnsi" w:eastAsia="Times New Roman" w:hAnsiTheme="minorHAnsi" w:cstheme="minorHAnsi"/>
                <w:b/>
                <w:bCs/>
                <w:color w:val="FF0000"/>
                <w:sz w:val="20"/>
                <w:szCs w:val="20"/>
                <w:lang w:eastAsia="pl-PL"/>
              </w:rPr>
            </w:pPr>
            <w:r>
              <w:rPr>
                <w:rFonts w:asciiTheme="minorHAnsi" w:hAnsiTheme="minorHAnsi" w:cstheme="minorHAnsi"/>
                <w:b/>
                <w:sz w:val="20"/>
                <w:szCs w:val="20"/>
              </w:rPr>
              <w:t>METODA OCENY EFEKTÓW UCZENIA SIĘ</w:t>
            </w:r>
          </w:p>
        </w:tc>
      </w:tr>
    </w:tbl>
    <w:p w:rsidR="00373AC5" w:rsidRDefault="00373AC5" w:rsidP="00373AC5">
      <w:pPr>
        <w:spacing w:after="0"/>
        <w:rPr>
          <w:rFonts w:asciiTheme="minorHAnsi" w:hAnsiTheme="minorHAnsi" w:cstheme="minorHAnsi"/>
          <w:vanish/>
          <w:sz w:val="20"/>
          <w:szCs w:val="20"/>
        </w:rPr>
      </w:pPr>
    </w:p>
    <w:tbl>
      <w:tblPr>
        <w:tblW w:w="0" w:type="auto"/>
        <w:tblInd w:w="758" w:type="dxa"/>
        <w:tblLook w:val="04A0" w:firstRow="1" w:lastRow="0" w:firstColumn="1" w:lastColumn="0" w:noHBand="0" w:noVBand="1"/>
      </w:tblPr>
      <w:tblGrid>
        <w:gridCol w:w="4739"/>
      </w:tblGrid>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odpowiedź ustna</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odpowiedź pisemna</w:t>
            </w:r>
          </w:p>
        </w:tc>
      </w:tr>
      <w:tr w:rsidR="00373AC5" w:rsidTr="00373AC5">
        <w:trPr>
          <w:trHeight w:val="259"/>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Test</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projekt (np. raport, protokół itp.)</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analiza przypadku</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esej</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portfolio</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OSCE/OSPE</w:t>
            </w:r>
          </w:p>
        </w:tc>
      </w:tr>
      <w:tr w:rsidR="00373AC5" w:rsidRPr="00AA12F7"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lang w:val="en-US"/>
              </w:rPr>
            </w:pPr>
            <w:r>
              <w:rPr>
                <w:rFonts w:asciiTheme="minorHAnsi" w:hAnsiTheme="minorHAnsi" w:cstheme="minorHAnsi"/>
                <w:sz w:val="20"/>
                <w:szCs w:val="20"/>
                <w:lang w:val="en-US"/>
              </w:rPr>
              <w:t>DOPS (direct observation of procedural skills)</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lang w:val="en-US"/>
              </w:rPr>
            </w:pPr>
            <w:r>
              <w:rPr>
                <w:rFonts w:asciiTheme="minorHAnsi" w:hAnsiTheme="minorHAnsi" w:cstheme="minorHAnsi"/>
                <w:sz w:val="20"/>
                <w:szCs w:val="20"/>
                <w:lang w:val="en-US"/>
              </w:rPr>
              <w:t>Mini - CEX</w:t>
            </w:r>
          </w:p>
        </w:tc>
      </w:tr>
      <w:tr w:rsidR="00373AC5" w:rsidTr="00373AC5">
        <w:trPr>
          <w:trHeight w:val="170"/>
        </w:trPr>
        <w:tc>
          <w:tcPr>
            <w:tcW w:w="4739" w:type="dxa"/>
            <w:vAlign w:val="center"/>
          </w:tcPr>
          <w:p w:rsidR="00373AC5" w:rsidRDefault="00373AC5">
            <w:pPr>
              <w:spacing w:after="0" w:line="240" w:lineRule="auto"/>
              <w:contextualSpacing/>
              <w:rPr>
                <w:rFonts w:asciiTheme="minorHAnsi" w:hAnsiTheme="minorHAnsi" w:cstheme="minorHAnsi"/>
                <w:sz w:val="20"/>
                <w:szCs w:val="20"/>
                <w:lang w:val="en-US"/>
              </w:rPr>
            </w:pPr>
          </w:p>
        </w:tc>
      </w:tr>
    </w:tbl>
    <w:p w:rsidR="00373AC5" w:rsidRDefault="00373AC5" w:rsidP="00373AC5">
      <w:pPr>
        <w:spacing w:after="0"/>
        <w:rPr>
          <w:rFonts w:asciiTheme="minorHAnsi" w:hAnsiTheme="minorHAnsi" w:cstheme="minorHAnsi"/>
          <w:vanish/>
          <w:sz w:val="20"/>
          <w:szCs w:val="20"/>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373AC5" w:rsidTr="00373AC5">
        <w:trPr>
          <w:trHeight w:val="566"/>
        </w:trPr>
        <w:tc>
          <w:tcPr>
            <w:tcW w:w="2235" w:type="dxa"/>
            <w:tcBorders>
              <w:top w:val="nil"/>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METODA OCENY EFEKTÓW UCZENIA SIĘ</w:t>
            </w:r>
          </w:p>
        </w:tc>
        <w:tc>
          <w:tcPr>
            <w:tcW w:w="12332" w:type="dxa"/>
            <w:tcBorders>
              <w:top w:val="nil"/>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OPIS</w:t>
            </w:r>
          </w:p>
        </w:tc>
      </w:tr>
      <w:tr w:rsidR="00373AC5" w:rsidTr="00373AC5">
        <w:trPr>
          <w:trHeight w:val="397"/>
        </w:trPr>
        <w:tc>
          <w:tcPr>
            <w:tcW w:w="2235" w:type="dxa"/>
            <w:tcBorders>
              <w:top w:val="single" w:sz="12"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test</w:t>
            </w:r>
          </w:p>
        </w:tc>
        <w:tc>
          <w:tcPr>
            <w:tcW w:w="12332" w:type="dxa"/>
            <w:tcBorders>
              <w:top w:val="single" w:sz="12"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forma pisemna obejmująca pytania wielokrotnego wyboru (</w:t>
            </w:r>
            <w:proofErr w:type="spellStart"/>
            <w:r>
              <w:rPr>
                <w:rFonts w:asciiTheme="minorHAnsi" w:hAnsiTheme="minorHAnsi" w:cstheme="minorHAnsi"/>
                <w:sz w:val="20"/>
                <w:szCs w:val="20"/>
              </w:rPr>
              <w:t>MCQs</w:t>
            </w:r>
            <w:proofErr w:type="spellEnd"/>
            <w:r>
              <w:rPr>
                <w:rFonts w:asciiTheme="minorHAnsi" w:hAnsiTheme="minorHAnsi" w:cstheme="minorHAnsi"/>
                <w:sz w:val="20"/>
                <w:szCs w:val="20"/>
              </w:rPr>
              <w:t>), pytania wielokrotnej odpowiedzi (</w:t>
            </w:r>
            <w:proofErr w:type="spellStart"/>
            <w:r>
              <w:rPr>
                <w:rFonts w:asciiTheme="minorHAnsi" w:hAnsiTheme="minorHAnsi" w:cstheme="minorHAnsi"/>
                <w:sz w:val="20"/>
                <w:szCs w:val="20"/>
              </w:rPr>
              <w:t>MRQs</w:t>
            </w:r>
            <w:proofErr w:type="spellEnd"/>
            <w:r>
              <w:rPr>
                <w:rFonts w:asciiTheme="minorHAnsi" w:hAnsiTheme="minorHAnsi" w:cstheme="minorHAnsi"/>
                <w:sz w:val="20"/>
                <w:szCs w:val="20"/>
              </w:rPr>
              <w:t xml:space="preserve">), </w:t>
            </w:r>
            <w:r>
              <w:rPr>
                <w:rFonts w:asciiTheme="minorHAnsi" w:hAnsiTheme="minorHAnsi" w:cstheme="minorHAnsi"/>
                <w:sz w:val="20"/>
                <w:szCs w:val="20"/>
              </w:rPr>
              <w:br/>
              <w:t xml:space="preserve">pytania typu Extended </w:t>
            </w:r>
            <w:proofErr w:type="spellStart"/>
            <w:r>
              <w:rPr>
                <w:rFonts w:asciiTheme="minorHAnsi" w:hAnsiTheme="minorHAnsi" w:cstheme="minorHAnsi"/>
                <w:sz w:val="20"/>
                <w:szCs w:val="20"/>
              </w:rPr>
              <w:t>Matching</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Items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EMIs</w:t>
            </w:r>
            <w:proofErr w:type="spellEnd"/>
            <w:r>
              <w:rPr>
                <w:rFonts w:asciiTheme="minorHAnsi" w:hAnsiTheme="minorHAnsi" w:cstheme="minorHAnsi"/>
                <w:sz w:val="20"/>
                <w:szCs w:val="20"/>
              </w:rPr>
              <w:t>) &lt;student wybiera odpowiedź spośród dłuższej kafeterii krótkich odpowiedzi (od 5 do 26, zwykle 8), ukierunkowane klinicznie&gt;, pytania krótkich odpowiedzi (</w:t>
            </w:r>
            <w:proofErr w:type="spellStart"/>
            <w:r>
              <w:rPr>
                <w:rFonts w:asciiTheme="minorHAnsi" w:hAnsiTheme="minorHAnsi" w:cstheme="minorHAnsi"/>
                <w:sz w:val="20"/>
                <w:szCs w:val="20"/>
              </w:rPr>
              <w:t>SAQs</w:t>
            </w:r>
            <w:proofErr w:type="spellEnd"/>
            <w:r>
              <w:rPr>
                <w:rFonts w:asciiTheme="minorHAnsi" w:hAnsiTheme="minorHAnsi" w:cstheme="minorHAnsi"/>
                <w:sz w:val="20"/>
                <w:szCs w:val="20"/>
              </w:rPr>
              <w:t>) student samodzielnie wpisuje krótkie odpowiedzi (1-2 słowa).</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esej</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portfolio</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373AC5" w:rsidTr="00373AC5">
        <w:trPr>
          <w:trHeight w:val="900"/>
        </w:trPr>
        <w:tc>
          <w:tcPr>
            <w:tcW w:w="2235" w:type="dxa"/>
            <w:tcBorders>
              <w:top w:val="single" w:sz="4" w:space="0" w:color="auto"/>
              <w:left w:val="nil"/>
              <w:bottom w:val="single" w:sz="4" w:space="0" w:color="auto"/>
              <w:right w:val="nil"/>
            </w:tcBorders>
            <w:vAlign w:val="center"/>
          </w:tcPr>
          <w:p w:rsidR="00373AC5" w:rsidRDefault="00373AC5">
            <w:pPr>
              <w:spacing w:after="0" w:line="240" w:lineRule="auto"/>
              <w:contextualSpacing/>
              <w:rPr>
                <w:rFonts w:asciiTheme="minorHAnsi" w:hAnsiTheme="minorHAnsi" w:cstheme="minorHAnsi"/>
                <w:b/>
                <w:sz w:val="20"/>
                <w:szCs w:val="20"/>
                <w:lang w:val="en-GB"/>
              </w:rPr>
            </w:pPr>
            <w:r>
              <w:rPr>
                <w:rFonts w:asciiTheme="minorHAnsi" w:hAnsiTheme="minorHAnsi" w:cstheme="minorHAnsi"/>
                <w:b/>
                <w:sz w:val="20"/>
                <w:szCs w:val="20"/>
                <w:lang w:val="en-GB"/>
              </w:rPr>
              <w:t>OSCE/OSPE</w:t>
            </w:r>
            <w:r>
              <w:rPr>
                <w:rFonts w:asciiTheme="minorHAnsi" w:hAnsiTheme="minorHAnsi" w:cstheme="minorHAnsi"/>
                <w:b/>
                <w:sz w:val="20"/>
                <w:szCs w:val="20"/>
                <w:lang w:val="en-GB"/>
              </w:rPr>
              <w:br/>
              <w:t>Objective Structured Clinical/Practical Examination</w:t>
            </w:r>
          </w:p>
          <w:p w:rsidR="00373AC5" w:rsidRDefault="00373AC5">
            <w:pPr>
              <w:spacing w:after="0" w:line="240" w:lineRule="auto"/>
              <w:contextualSpacing/>
              <w:rPr>
                <w:rFonts w:asciiTheme="minorHAnsi" w:hAnsiTheme="minorHAnsi" w:cstheme="minorHAnsi"/>
                <w:b/>
                <w:sz w:val="20"/>
                <w:szCs w:val="20"/>
                <w:lang w:val="en-GB"/>
              </w:rPr>
            </w:pP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Pr>
                <w:rFonts w:asciiTheme="minorHAnsi" w:hAnsiTheme="minorHAnsi" w:cstheme="minorHAnsi"/>
                <w:sz w:val="20"/>
                <w:szCs w:val="20"/>
              </w:rPr>
              <w:t>checklisty</w:t>
            </w:r>
            <w:proofErr w:type="spellEnd"/>
            <w:r>
              <w:rPr>
                <w:rFonts w:asciiTheme="minorHAnsi" w:hAnsiTheme="minorHAnsi" w:cstheme="minorHAnsi"/>
                <w:sz w:val="20"/>
                <w:szCs w:val="20"/>
              </w:rPr>
              <w:t xml:space="preserve"> lub tzw. </w:t>
            </w:r>
            <w:proofErr w:type="spellStart"/>
            <w:r>
              <w:rPr>
                <w:rFonts w:asciiTheme="minorHAnsi" w:hAnsiTheme="minorHAnsi" w:cstheme="minorHAnsi"/>
                <w:sz w:val="20"/>
                <w:szCs w:val="20"/>
              </w:rPr>
              <w:t>global</w:t>
            </w:r>
            <w:proofErr w:type="spellEnd"/>
            <w:r>
              <w:rPr>
                <w:rFonts w:asciiTheme="minorHAnsi" w:hAnsiTheme="minorHAnsi" w:cstheme="minorHAnsi"/>
                <w:sz w:val="20"/>
                <w:szCs w:val="20"/>
              </w:rPr>
              <w:t xml:space="preserve"> rating.</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lang w:val="en-GB"/>
              </w:rPr>
            </w:pPr>
            <w:r>
              <w:rPr>
                <w:rFonts w:asciiTheme="minorHAnsi" w:hAnsiTheme="minorHAnsi" w:cstheme="minorHAnsi"/>
                <w:b/>
                <w:sz w:val="20"/>
                <w:szCs w:val="20"/>
                <w:lang w:val="en-GB"/>
              </w:rPr>
              <w:t>DOPS (direct observation of procedural skills)</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373AC5" w:rsidTr="00373AC5">
        <w:trPr>
          <w:trHeight w:val="397"/>
        </w:trPr>
        <w:tc>
          <w:tcPr>
            <w:tcW w:w="2235" w:type="dxa"/>
            <w:tcBorders>
              <w:top w:val="single" w:sz="4" w:space="0" w:color="auto"/>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lang w:val="en-US"/>
              </w:rPr>
            </w:pPr>
            <w:r>
              <w:rPr>
                <w:rFonts w:asciiTheme="minorHAnsi" w:hAnsiTheme="minorHAnsi" w:cstheme="minorHAnsi"/>
                <w:b/>
                <w:sz w:val="20"/>
                <w:szCs w:val="20"/>
                <w:lang w:val="en-US"/>
              </w:rPr>
              <w:t>Mini - CEX</w:t>
            </w:r>
          </w:p>
        </w:tc>
        <w:tc>
          <w:tcPr>
            <w:tcW w:w="12332" w:type="dxa"/>
            <w:tcBorders>
              <w:top w:val="single" w:sz="4" w:space="0" w:color="auto"/>
              <w:left w:val="nil"/>
              <w:bottom w:val="single" w:sz="12"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373AC5" w:rsidRDefault="00373AC5" w:rsidP="00373AC5">
      <w:pPr>
        <w:ind w:right="-142"/>
        <w:rPr>
          <w:rFonts w:asciiTheme="minorHAnsi" w:hAnsiTheme="minorHAnsi" w:cstheme="minorHAnsi"/>
          <w:b/>
          <w:color w:val="FF0000"/>
          <w:sz w:val="20"/>
          <w:szCs w:val="20"/>
        </w:rPr>
      </w:pPr>
    </w:p>
    <w:p w:rsidR="003306A9" w:rsidRDefault="003306A9"/>
    <w:sectPr w:rsidR="0033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F41"/>
    <w:multiLevelType w:val="hybridMultilevel"/>
    <w:tmpl w:val="6A500A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EF6CB0"/>
    <w:multiLevelType w:val="multilevel"/>
    <w:tmpl w:val="FF423B1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1441"/>
    <w:multiLevelType w:val="hybridMultilevel"/>
    <w:tmpl w:val="6C183D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903D9F"/>
    <w:multiLevelType w:val="hybridMultilevel"/>
    <w:tmpl w:val="AF8ACB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AF4B0E4">
      <w:start w:val="1"/>
      <w:numFmt w:val="decimal"/>
      <w:lvlText w:val="%3."/>
      <w:lvlJc w:val="right"/>
      <w:pPr>
        <w:ind w:left="2160" w:hanging="180"/>
      </w:pPr>
      <w:rPr>
        <w:rFonts w:asciiTheme="minorHAnsi" w:eastAsia="Calibri" w:hAnsiTheme="minorHAnsi" w:cstheme="minorHAns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6F50F0"/>
    <w:multiLevelType w:val="hybridMultilevel"/>
    <w:tmpl w:val="ACACE7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EDA3FAB"/>
    <w:multiLevelType w:val="hybridMultilevel"/>
    <w:tmpl w:val="0CA211B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AC45C81"/>
    <w:multiLevelType w:val="hybridMultilevel"/>
    <w:tmpl w:val="279291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3B591E"/>
    <w:multiLevelType w:val="multilevel"/>
    <w:tmpl w:val="8EA26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0937A3"/>
    <w:multiLevelType w:val="hybridMultilevel"/>
    <w:tmpl w:val="6706B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FA16C52"/>
    <w:multiLevelType w:val="hybridMultilevel"/>
    <w:tmpl w:val="CB46F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2855692"/>
    <w:multiLevelType w:val="hybridMultilevel"/>
    <w:tmpl w:val="F000F8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4F67174"/>
    <w:multiLevelType w:val="multilevel"/>
    <w:tmpl w:val="7B282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430E7D"/>
    <w:multiLevelType w:val="hybridMultilevel"/>
    <w:tmpl w:val="B8925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DF03B9"/>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AE5CB7"/>
    <w:multiLevelType w:val="multilevel"/>
    <w:tmpl w:val="58982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2B3077"/>
    <w:multiLevelType w:val="hybridMultilevel"/>
    <w:tmpl w:val="E5AED3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5D00186"/>
    <w:multiLevelType w:val="hybridMultilevel"/>
    <w:tmpl w:val="5A6AF2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6641AB9"/>
    <w:multiLevelType w:val="hybridMultilevel"/>
    <w:tmpl w:val="D62037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D7378C2"/>
    <w:multiLevelType w:val="hybridMultilevel"/>
    <w:tmpl w:val="148A3A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19"/>
  </w:num>
  <w:num w:numId="4">
    <w:abstractNumId w:val="19"/>
  </w:num>
  <w:num w:numId="5">
    <w:abstractNumId w:val="12"/>
  </w:num>
  <w:num w:numId="6">
    <w:abstractNumId w:val="12"/>
  </w:num>
  <w:num w:numId="7">
    <w:abstractNumId w:val="10"/>
  </w:num>
  <w:num w:numId="8">
    <w:abstractNumId w:val="1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5"/>
    <w:rsid w:val="00020D38"/>
    <w:rsid w:val="003306A9"/>
    <w:rsid w:val="00373AC5"/>
    <w:rsid w:val="004C5498"/>
    <w:rsid w:val="00516AD1"/>
    <w:rsid w:val="00617F30"/>
    <w:rsid w:val="00746C1B"/>
    <w:rsid w:val="00892F08"/>
    <w:rsid w:val="00896F0C"/>
    <w:rsid w:val="008A44CA"/>
    <w:rsid w:val="00916E96"/>
    <w:rsid w:val="00AA12F7"/>
    <w:rsid w:val="00D30E80"/>
    <w:rsid w:val="00D333EB"/>
    <w:rsid w:val="00EC1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E5E5"/>
  <w15:chartTrackingRefBased/>
  <w15:docId w15:val="{55C17806-4C51-4FC9-9510-3BADC532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3A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373AC5"/>
    <w:pPr>
      <w:keepNext/>
      <w:keepLines/>
      <w:spacing w:before="240" w:after="0" w:line="256"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373AC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3AC5"/>
    <w:rPr>
      <w:rFonts w:ascii="Cambria" w:eastAsia="Times New Roman" w:hAnsi="Cambria" w:cs="Times New Roman"/>
      <w:color w:val="365F91"/>
      <w:sz w:val="32"/>
      <w:szCs w:val="32"/>
    </w:rPr>
  </w:style>
  <w:style w:type="character" w:customStyle="1" w:styleId="Nagwek4Znak">
    <w:name w:val="Nagłówek 4 Znak"/>
    <w:basedOn w:val="Domylnaczcionkaakapitu"/>
    <w:link w:val="Nagwek4"/>
    <w:uiPriority w:val="9"/>
    <w:semiHidden/>
    <w:rsid w:val="00373AC5"/>
    <w:rPr>
      <w:rFonts w:asciiTheme="majorHAnsi" w:eastAsiaTheme="majorEastAsia" w:hAnsiTheme="majorHAnsi" w:cstheme="majorBidi"/>
      <w:b/>
      <w:bCs/>
      <w:i/>
      <w:iCs/>
      <w:color w:val="4472C4" w:themeColor="accent1"/>
    </w:rPr>
  </w:style>
  <w:style w:type="character" w:styleId="Hipercze">
    <w:name w:val="Hyperlink"/>
    <w:uiPriority w:val="99"/>
    <w:semiHidden/>
    <w:unhideWhenUsed/>
    <w:rsid w:val="00373AC5"/>
    <w:rPr>
      <w:color w:val="0000FF"/>
      <w:u w:val="single"/>
    </w:rPr>
  </w:style>
  <w:style w:type="character" w:styleId="UyteHipercze">
    <w:name w:val="FollowedHyperlink"/>
    <w:basedOn w:val="Domylnaczcionkaakapitu"/>
    <w:uiPriority w:val="99"/>
    <w:semiHidden/>
    <w:unhideWhenUsed/>
    <w:rsid w:val="00373AC5"/>
    <w:rPr>
      <w:color w:val="954F72" w:themeColor="followedHyperlink"/>
      <w:u w:val="single"/>
    </w:rPr>
  </w:style>
  <w:style w:type="paragraph" w:customStyle="1" w:styleId="msonormal0">
    <w:name w:val="msonormal"/>
    <w:basedOn w:val="Normalny"/>
    <w:uiPriority w:val="99"/>
    <w:rsid w:val="00373AC5"/>
    <w:pPr>
      <w:spacing w:before="100" w:beforeAutospacing="1" w:after="100" w:afterAutospacing="1" w:line="240" w:lineRule="auto"/>
    </w:pPr>
    <w:rPr>
      <w:rFonts w:ascii="Times New Roman" w:hAnsi="Times New Roman"/>
      <w:sz w:val="24"/>
      <w:szCs w:val="24"/>
      <w:lang w:eastAsia="pl-PL"/>
    </w:rPr>
  </w:style>
  <w:style w:type="paragraph" w:styleId="NormalnyWeb">
    <w:name w:val="Normal (Web)"/>
    <w:basedOn w:val="Normalny"/>
    <w:uiPriority w:val="99"/>
    <w:semiHidden/>
    <w:unhideWhenUsed/>
    <w:rsid w:val="00373AC5"/>
    <w:pPr>
      <w:spacing w:before="100" w:beforeAutospacing="1" w:after="100" w:afterAutospacing="1" w:line="240" w:lineRule="auto"/>
    </w:pPr>
    <w:rPr>
      <w:rFonts w:ascii="Times New Roman" w:hAnsi="Times New Roman"/>
      <w:sz w:val="24"/>
      <w:szCs w:val="24"/>
      <w:lang w:eastAsia="pl-PL"/>
    </w:rPr>
  </w:style>
  <w:style w:type="paragraph" w:styleId="Tekstkomentarza">
    <w:name w:val="annotation text"/>
    <w:basedOn w:val="Normalny"/>
    <w:link w:val="TekstkomentarzaZnak"/>
    <w:uiPriority w:val="99"/>
    <w:semiHidden/>
    <w:unhideWhenUsed/>
    <w:rsid w:val="00373AC5"/>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373AC5"/>
    <w:rPr>
      <w:sz w:val="20"/>
      <w:szCs w:val="20"/>
    </w:rPr>
  </w:style>
  <w:style w:type="paragraph" w:styleId="Nagwek">
    <w:name w:val="header"/>
    <w:basedOn w:val="Normalny"/>
    <w:link w:val="NagwekZnak"/>
    <w:uiPriority w:val="99"/>
    <w:semiHidden/>
    <w:unhideWhenUsed/>
    <w:rsid w:val="00373A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73AC5"/>
    <w:rPr>
      <w:rFonts w:ascii="Calibri" w:eastAsia="Calibri" w:hAnsi="Calibri" w:cs="Times New Roman"/>
    </w:rPr>
  </w:style>
  <w:style w:type="paragraph" w:styleId="Stopka">
    <w:name w:val="footer"/>
    <w:basedOn w:val="Normalny"/>
    <w:link w:val="StopkaZnak"/>
    <w:uiPriority w:val="99"/>
    <w:semiHidden/>
    <w:unhideWhenUsed/>
    <w:rsid w:val="00373A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73AC5"/>
    <w:rPr>
      <w:rFonts w:ascii="Calibri" w:eastAsia="Calibri" w:hAnsi="Calibri" w:cs="Times New Roman"/>
    </w:rPr>
  </w:style>
  <w:style w:type="paragraph" w:styleId="Tekstpodstawowy">
    <w:name w:val="Body Text"/>
    <w:basedOn w:val="Normalny"/>
    <w:link w:val="TekstpodstawowyZnak"/>
    <w:uiPriority w:val="99"/>
    <w:semiHidden/>
    <w:unhideWhenUsed/>
    <w:rsid w:val="00373AC5"/>
    <w:pPr>
      <w:spacing w:after="120" w:line="256" w:lineRule="auto"/>
    </w:pPr>
  </w:style>
  <w:style w:type="character" w:customStyle="1" w:styleId="TekstpodstawowyZnak">
    <w:name w:val="Tekst podstawowy Znak"/>
    <w:basedOn w:val="Domylnaczcionkaakapitu"/>
    <w:link w:val="Tekstpodstawowy"/>
    <w:uiPriority w:val="99"/>
    <w:semiHidden/>
    <w:rsid w:val="00373AC5"/>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373AC5"/>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rsid w:val="00373AC5"/>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373AC5"/>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373A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73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3AC5"/>
    <w:rPr>
      <w:rFonts w:ascii="Tahoma" w:eastAsia="Calibri" w:hAnsi="Tahoma" w:cs="Tahoma"/>
      <w:sz w:val="16"/>
      <w:szCs w:val="16"/>
    </w:rPr>
  </w:style>
  <w:style w:type="paragraph" w:styleId="Poprawka">
    <w:name w:val="Revision"/>
    <w:uiPriority w:val="99"/>
    <w:semiHidden/>
    <w:rsid w:val="00373AC5"/>
    <w:pPr>
      <w:spacing w:after="0" w:line="240" w:lineRule="auto"/>
    </w:pPr>
    <w:rPr>
      <w:rFonts w:ascii="Calibri" w:eastAsia="Calibri" w:hAnsi="Calibri" w:cs="Times New Roman"/>
    </w:rPr>
  </w:style>
  <w:style w:type="character" w:customStyle="1" w:styleId="AkapitzlistZnak">
    <w:name w:val="Akapit z listą Znak"/>
    <w:link w:val="Akapitzlist"/>
    <w:uiPriority w:val="34"/>
    <w:locked/>
    <w:rsid w:val="00373AC5"/>
  </w:style>
  <w:style w:type="paragraph" w:styleId="Akapitzlist">
    <w:name w:val="List Paragraph"/>
    <w:basedOn w:val="Normalny"/>
    <w:link w:val="AkapitzlistZnak"/>
    <w:uiPriority w:val="34"/>
    <w:qFormat/>
    <w:rsid w:val="00373AC5"/>
    <w:pPr>
      <w:spacing w:after="160" w:line="256" w:lineRule="auto"/>
      <w:ind w:left="720"/>
      <w:contextualSpacing/>
    </w:pPr>
    <w:rPr>
      <w:rFonts w:asciiTheme="minorHAnsi" w:eastAsiaTheme="minorHAnsi" w:hAnsiTheme="minorHAnsi" w:cstheme="minorBidi"/>
    </w:rPr>
  </w:style>
  <w:style w:type="paragraph" w:customStyle="1" w:styleId="klinika2">
    <w:name w:val="klinika2"/>
    <w:basedOn w:val="Normalny"/>
    <w:uiPriority w:val="99"/>
    <w:rsid w:val="00373AC5"/>
    <w:pPr>
      <w:spacing w:after="0" w:line="240" w:lineRule="auto"/>
      <w:ind w:left="113"/>
    </w:pPr>
    <w:rPr>
      <w:rFonts w:ascii="France" w:eastAsia="Times New Roman" w:hAnsi="France"/>
      <w:sz w:val="20"/>
      <w:szCs w:val="20"/>
      <w:lang w:eastAsia="pl-PL"/>
    </w:rPr>
  </w:style>
  <w:style w:type="paragraph" w:customStyle="1" w:styleId="Default">
    <w:name w:val="Default"/>
    <w:uiPriority w:val="99"/>
    <w:rsid w:val="00373AC5"/>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373AC5"/>
    <w:rPr>
      <w:sz w:val="16"/>
      <w:szCs w:val="16"/>
    </w:rPr>
  </w:style>
  <w:style w:type="character" w:customStyle="1" w:styleId="Tytu1">
    <w:name w:val="Tytuł1"/>
    <w:basedOn w:val="Domylnaczcionkaakapitu"/>
    <w:rsid w:val="00373AC5"/>
  </w:style>
  <w:style w:type="character" w:customStyle="1" w:styleId="name">
    <w:name w:val="name"/>
    <w:basedOn w:val="Domylnaczcionkaakapitu"/>
    <w:rsid w:val="00373AC5"/>
  </w:style>
  <w:style w:type="character" w:customStyle="1" w:styleId="email">
    <w:name w:val="email"/>
    <w:basedOn w:val="Domylnaczcionkaakapitu"/>
    <w:rsid w:val="00373AC5"/>
  </w:style>
  <w:style w:type="character" w:customStyle="1" w:styleId="size">
    <w:name w:val="size"/>
    <w:basedOn w:val="Domylnaczcionkaakapitu"/>
    <w:rsid w:val="00373AC5"/>
  </w:style>
  <w:style w:type="character" w:customStyle="1" w:styleId="markedcontent">
    <w:name w:val="markedcontent"/>
    <w:basedOn w:val="Domylnaczcionkaakapitu"/>
    <w:rsid w:val="00373AC5"/>
  </w:style>
  <w:style w:type="table" w:styleId="Tabela-Siatka">
    <w:name w:val="Table Grid"/>
    <w:basedOn w:val="Standardowy"/>
    <w:uiPriority w:val="39"/>
    <w:rsid w:val="00373A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2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14919</Words>
  <Characters>89518</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Dzieciuchowicz</dc:creator>
  <cp:keywords/>
  <dc:description/>
  <cp:lastModifiedBy>Emilia Dzieciuchowicz</cp:lastModifiedBy>
  <cp:revision>26</cp:revision>
  <dcterms:created xsi:type="dcterms:W3CDTF">2025-02-18T10:38:00Z</dcterms:created>
  <dcterms:modified xsi:type="dcterms:W3CDTF">2025-04-29T07:52:00Z</dcterms:modified>
</cp:coreProperties>
</file>