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168" w:rsidRPr="00CB358F" w:rsidRDefault="00430168" w:rsidP="00430168">
      <w:pPr>
        <w:spacing w:after="240" w:line="240" w:lineRule="auto"/>
        <w:jc w:val="center"/>
        <w:rPr>
          <w:rFonts w:ascii="Times New Roman" w:eastAsia="Times New Roman" w:hAnsi="Times New Roman" w:cs="Times New Roman"/>
          <w:color w:val="000F2E"/>
          <w:sz w:val="24"/>
          <w:szCs w:val="24"/>
          <w:lang w:eastAsia="pl-PL"/>
        </w:rPr>
      </w:pPr>
      <w:bookmarkStart w:id="0" w:name="_GoBack"/>
      <w:bookmarkEnd w:id="0"/>
      <w:r w:rsidRPr="00CB358F">
        <w:rPr>
          <w:rFonts w:ascii="Times New Roman" w:eastAsia="Times New Roman" w:hAnsi="Times New Roman" w:cs="Times New Roman"/>
          <w:b/>
          <w:bCs/>
          <w:color w:val="000F2E"/>
          <w:sz w:val="24"/>
          <w:szCs w:val="24"/>
          <w:lang w:eastAsia="pl-PL"/>
        </w:rPr>
        <w:t xml:space="preserve">Regulamin zajęć dla 2 rok; kierunek </w:t>
      </w:r>
      <w:r w:rsidR="002E0488">
        <w:rPr>
          <w:rFonts w:ascii="Times New Roman" w:eastAsia="Times New Roman" w:hAnsi="Times New Roman" w:cs="Times New Roman"/>
          <w:b/>
          <w:bCs/>
          <w:color w:val="000F2E"/>
          <w:sz w:val="24"/>
          <w:szCs w:val="24"/>
          <w:lang w:eastAsia="pl-PL"/>
        </w:rPr>
        <w:t>Dietetyka</w:t>
      </w:r>
      <w:r w:rsidRPr="00CB358F">
        <w:rPr>
          <w:rFonts w:ascii="Times New Roman" w:eastAsia="Times New Roman" w:hAnsi="Times New Roman" w:cs="Times New Roman"/>
          <w:b/>
          <w:bCs/>
          <w:color w:val="000F2E"/>
          <w:sz w:val="24"/>
          <w:szCs w:val="24"/>
          <w:lang w:eastAsia="pl-PL"/>
        </w:rPr>
        <w:t>; WL-I</w:t>
      </w:r>
      <w:r w:rsidRPr="00CB358F">
        <w:rPr>
          <w:rFonts w:ascii="Times New Roman" w:eastAsia="Times New Roman" w:hAnsi="Times New Roman" w:cs="Times New Roman"/>
          <w:color w:val="000F2E"/>
          <w:sz w:val="24"/>
          <w:szCs w:val="24"/>
          <w:lang w:eastAsia="pl-PL"/>
        </w:rPr>
        <w:br/>
      </w:r>
    </w:p>
    <w:tbl>
      <w:tblPr>
        <w:tblW w:w="4500" w:type="pct"/>
        <w:tblCellSpacing w:w="0" w:type="dxa"/>
        <w:tblCellMar>
          <w:left w:w="0" w:type="dxa"/>
          <w:right w:w="0" w:type="dxa"/>
        </w:tblCellMar>
        <w:tblLook w:val="04A0" w:firstRow="1" w:lastRow="0" w:firstColumn="1" w:lastColumn="0" w:noHBand="0" w:noVBand="1"/>
      </w:tblPr>
      <w:tblGrid>
        <w:gridCol w:w="327"/>
        <w:gridCol w:w="245"/>
        <w:gridCol w:w="7593"/>
      </w:tblGrid>
      <w:tr w:rsidR="00430168" w:rsidRPr="00430168" w:rsidTr="00430168">
        <w:trPr>
          <w:tblCellSpacing w:w="0" w:type="dxa"/>
        </w:trPr>
        <w:tc>
          <w:tcPr>
            <w:tcW w:w="5000" w:type="pct"/>
            <w:gridSpan w:val="3"/>
            <w:hideMark/>
          </w:tcPr>
          <w:p w:rsidR="00430168" w:rsidRPr="00430168" w:rsidRDefault="00430168" w:rsidP="00430168">
            <w:pPr>
              <w:spacing w:before="150"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i/>
                <w:iCs/>
                <w:color w:val="800080"/>
                <w:lang w:eastAsia="pl-PL"/>
              </w:rPr>
              <w:t>A. ORGANIZACJA ZAJĘĆ</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1. </w:t>
            </w:r>
          </w:p>
        </w:tc>
        <w:tc>
          <w:tcPr>
            <w:tcW w:w="4800" w:type="pct"/>
            <w:gridSpan w:val="2"/>
            <w:hideMark/>
          </w:tcPr>
          <w:p w:rsidR="00430168" w:rsidRPr="00430168" w:rsidRDefault="00430168" w:rsidP="002E048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Zajęcia z Parazytologii obejmują wykłady (</w:t>
            </w:r>
            <w:r w:rsidR="002E0488">
              <w:rPr>
                <w:rFonts w:ascii="Times New Roman" w:eastAsia="Times New Roman" w:hAnsi="Times New Roman" w:cs="Times New Roman"/>
                <w:color w:val="000080"/>
                <w:sz w:val="20"/>
                <w:szCs w:val="20"/>
                <w:lang w:eastAsia="pl-PL"/>
              </w:rPr>
              <w:t>10</w:t>
            </w:r>
            <w:r w:rsidRPr="00430168">
              <w:rPr>
                <w:rFonts w:ascii="Times New Roman" w:eastAsia="Times New Roman" w:hAnsi="Times New Roman" w:cs="Times New Roman"/>
                <w:color w:val="000080"/>
                <w:sz w:val="20"/>
                <w:szCs w:val="20"/>
                <w:lang w:eastAsia="pl-PL"/>
              </w:rPr>
              <w:t xml:space="preserve"> godz.) i ćwiczenia (</w:t>
            </w:r>
            <w:r w:rsidR="002E0488">
              <w:rPr>
                <w:rFonts w:ascii="Times New Roman" w:eastAsia="Times New Roman" w:hAnsi="Times New Roman" w:cs="Times New Roman"/>
                <w:color w:val="000080"/>
                <w:sz w:val="20"/>
                <w:szCs w:val="20"/>
                <w:lang w:eastAsia="pl-PL"/>
              </w:rPr>
              <w:t>20</w:t>
            </w:r>
            <w:r w:rsidRPr="00430168">
              <w:rPr>
                <w:rFonts w:ascii="Times New Roman" w:eastAsia="Times New Roman" w:hAnsi="Times New Roman" w:cs="Times New Roman"/>
                <w:color w:val="000080"/>
                <w:sz w:val="20"/>
                <w:szCs w:val="20"/>
                <w:lang w:eastAsia="pl-PL"/>
              </w:rPr>
              <w:t xml:space="preserve"> godz.). Wykłady odbywać się będą w sali wykładowej im. Różyckiego (sala "Czarna" - </w:t>
            </w:r>
            <w:proofErr w:type="spellStart"/>
            <w:r w:rsidRPr="00430168">
              <w:rPr>
                <w:rFonts w:ascii="Times New Roman" w:eastAsia="Times New Roman" w:hAnsi="Times New Roman" w:cs="Times New Roman"/>
                <w:i/>
                <w:iCs/>
                <w:color w:val="000080"/>
                <w:sz w:val="20"/>
                <w:szCs w:val="20"/>
                <w:lang w:eastAsia="pl-PL"/>
              </w:rPr>
              <w:t>Coll</w:t>
            </w:r>
            <w:proofErr w:type="spellEnd"/>
            <w:r w:rsidRPr="00430168">
              <w:rPr>
                <w:rFonts w:ascii="Times New Roman" w:eastAsia="Times New Roman" w:hAnsi="Times New Roman" w:cs="Times New Roman"/>
                <w:i/>
                <w:iCs/>
                <w:color w:val="000080"/>
                <w:sz w:val="20"/>
                <w:szCs w:val="20"/>
                <w:lang w:eastAsia="pl-PL"/>
              </w:rPr>
              <w:t xml:space="preserve">. </w:t>
            </w:r>
            <w:proofErr w:type="spellStart"/>
            <w:r w:rsidRPr="00430168">
              <w:rPr>
                <w:rFonts w:ascii="Times New Roman" w:eastAsia="Times New Roman" w:hAnsi="Times New Roman" w:cs="Times New Roman"/>
                <w:i/>
                <w:iCs/>
                <w:color w:val="000080"/>
                <w:sz w:val="20"/>
                <w:szCs w:val="20"/>
                <w:lang w:eastAsia="pl-PL"/>
              </w:rPr>
              <w:t>Anatomicum</w:t>
            </w:r>
            <w:proofErr w:type="spellEnd"/>
            <w:r w:rsidRPr="00430168">
              <w:rPr>
                <w:rFonts w:ascii="Times New Roman" w:eastAsia="Times New Roman" w:hAnsi="Times New Roman" w:cs="Times New Roman"/>
                <w:color w:val="000080"/>
                <w:sz w:val="20"/>
                <w:szCs w:val="20"/>
                <w:lang w:eastAsia="pl-PL"/>
              </w:rPr>
              <w:t xml:space="preserve">) zgodnie z harmonogramem zajęć i dotyczyć będą klasyfikacji pasożytów, układu pasożyt-żywiciel oraz środowiskowych uwarunkowań chorób pasożytniczych. Zajęcia kontrolowane (seminaria i ćwiczenia) z Parazytologii odbywać się będą w tygodniowym bloku ćwiczeniowym w sali im. </w:t>
            </w:r>
            <w:r w:rsidRPr="00430168">
              <w:rPr>
                <w:rFonts w:ascii="Times New Roman" w:eastAsia="Times New Roman" w:hAnsi="Times New Roman" w:cs="Times New Roman"/>
                <w:i/>
                <w:iCs/>
                <w:color w:val="000080"/>
                <w:sz w:val="20"/>
                <w:szCs w:val="20"/>
                <w:lang w:eastAsia="pl-PL"/>
              </w:rPr>
              <w:t>Prof. Witolda Kasprzaka</w:t>
            </w:r>
            <w:r w:rsidRPr="00430168">
              <w:rPr>
                <w:rFonts w:ascii="Times New Roman" w:eastAsia="Times New Roman" w:hAnsi="Times New Roman" w:cs="Times New Roman"/>
                <w:color w:val="000080"/>
                <w:sz w:val="20"/>
                <w:szCs w:val="20"/>
                <w:lang w:eastAsia="pl-PL"/>
              </w:rPr>
              <w:t xml:space="preserve"> (Katedra i Zakład Biologii i Parazytologii Lekarskiej, ul. Fredry 10) i będą dotyczyć biologii, epidemiologii i diagnostyki pasożytów, oraz podstawowych objawów chorobowych przez nie wywoływanych.</w:t>
            </w:r>
            <w:r w:rsidRPr="00430168">
              <w:rPr>
                <w:rFonts w:ascii="Times New Roman" w:eastAsia="Times New Roman" w:hAnsi="Times New Roman" w:cs="Times New Roman"/>
                <w:sz w:val="24"/>
                <w:szCs w:val="24"/>
                <w:lang w:eastAsia="pl-PL"/>
              </w:rPr>
              <w:t xml:space="preserve">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2.1.</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Studenci proszeni są o wydrukowanie skryptu pt. </w:t>
            </w:r>
            <w:r w:rsidRPr="00430168">
              <w:rPr>
                <w:rFonts w:ascii="Times New Roman" w:eastAsia="Times New Roman" w:hAnsi="Times New Roman" w:cs="Times New Roman"/>
                <w:i/>
                <w:iCs/>
                <w:color w:val="000080"/>
                <w:sz w:val="20"/>
                <w:szCs w:val="20"/>
                <w:lang w:eastAsia="pl-PL"/>
              </w:rPr>
              <w:t>Zeszyt do ćwiczeń. Parazytologia lekarska dla studentów Wydziału Lekarskiego</w:t>
            </w:r>
            <w:r w:rsidRPr="00430168">
              <w:rPr>
                <w:rFonts w:ascii="Times New Roman" w:eastAsia="Times New Roman" w:hAnsi="Times New Roman" w:cs="Times New Roman"/>
                <w:color w:val="000080"/>
                <w:sz w:val="20"/>
                <w:szCs w:val="20"/>
                <w:lang w:eastAsia="pl-PL"/>
              </w:rPr>
              <w:t xml:space="preserve"> (Anna C. Majewska i Piotr Nowosad, wyd. 1, 2015), który znajduje się na stronie internetowej uczelni www.ump.edu.pl, w zakładce WISUS/Materiały dydaktyczne.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2.2.</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W trakcie nauki studenci powinni korzystać z </w:t>
            </w:r>
            <w:r w:rsidRPr="00430168">
              <w:rPr>
                <w:rFonts w:ascii="Times New Roman" w:eastAsia="Times New Roman" w:hAnsi="Times New Roman" w:cs="Times New Roman"/>
                <w:i/>
                <w:iCs/>
                <w:color w:val="000080"/>
                <w:sz w:val="20"/>
                <w:szCs w:val="20"/>
                <w:lang w:eastAsia="pl-PL"/>
              </w:rPr>
              <w:t>Przewodnika do ćwiczeń</w:t>
            </w:r>
            <w:r w:rsidRPr="00430168">
              <w:rPr>
                <w:rFonts w:ascii="Times New Roman" w:eastAsia="Times New Roman" w:hAnsi="Times New Roman" w:cs="Times New Roman"/>
                <w:color w:val="000080"/>
                <w:sz w:val="20"/>
                <w:szCs w:val="20"/>
                <w:lang w:eastAsia="pl-PL"/>
              </w:rPr>
              <w:t xml:space="preserve"> pt. </w:t>
            </w:r>
            <w:r w:rsidRPr="00430168">
              <w:rPr>
                <w:rFonts w:ascii="Times New Roman" w:eastAsia="Times New Roman" w:hAnsi="Times New Roman" w:cs="Times New Roman"/>
                <w:i/>
                <w:iCs/>
                <w:color w:val="000080"/>
                <w:sz w:val="20"/>
                <w:szCs w:val="20"/>
                <w:lang w:eastAsia="pl-PL"/>
              </w:rPr>
              <w:t>Parazytologia lekarska dla studentów Wydziału Lekarskiego i Oddziału Analityki Medycznej</w:t>
            </w:r>
            <w:r w:rsidRPr="00430168">
              <w:rPr>
                <w:rFonts w:ascii="Times New Roman" w:eastAsia="Times New Roman" w:hAnsi="Times New Roman" w:cs="Times New Roman"/>
                <w:color w:val="000080"/>
                <w:sz w:val="20"/>
                <w:szCs w:val="20"/>
                <w:lang w:eastAsia="pl-PL"/>
              </w:rPr>
              <w:t xml:space="preserve">, który znajduje się na </w:t>
            </w:r>
            <w:r w:rsidRPr="00430168">
              <w:rPr>
                <w:rFonts w:ascii="Times New Roman" w:eastAsia="Times New Roman" w:hAnsi="Times New Roman" w:cs="Times New Roman"/>
                <w:i/>
                <w:iCs/>
                <w:color w:val="000080"/>
                <w:sz w:val="20"/>
                <w:szCs w:val="20"/>
                <w:lang w:eastAsia="pl-PL"/>
              </w:rPr>
              <w:t xml:space="preserve">stronie </w:t>
            </w:r>
            <w:r w:rsidRPr="00430168">
              <w:rPr>
                <w:rFonts w:ascii="Times New Roman" w:eastAsia="Times New Roman" w:hAnsi="Times New Roman" w:cs="Times New Roman"/>
                <w:color w:val="000080"/>
                <w:sz w:val="20"/>
                <w:szCs w:val="20"/>
                <w:lang w:eastAsia="pl-PL"/>
              </w:rPr>
              <w:t>internetowej uczelni www.ump.edu.pl (WISUS/AKSON/Materiały dydaktyczne).</w:t>
            </w:r>
          </w:p>
        </w:tc>
      </w:tr>
      <w:tr w:rsidR="00430168" w:rsidRPr="00430168" w:rsidTr="00430168">
        <w:trPr>
          <w:tblCellSpacing w:w="0" w:type="dxa"/>
        </w:trPr>
        <w:tc>
          <w:tcPr>
            <w:tcW w:w="200" w:type="pct"/>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3.</w:t>
            </w:r>
          </w:p>
        </w:tc>
        <w:tc>
          <w:tcPr>
            <w:tcW w:w="4800" w:type="pct"/>
            <w:gridSpan w:val="2"/>
            <w:hideMark/>
          </w:tcPr>
          <w:p w:rsidR="00430168" w:rsidRPr="00430168" w:rsidRDefault="00430168" w:rsidP="002E048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Każde ćwiczenie rozpoczyna multimedialn</w:t>
            </w:r>
            <w:r w:rsidR="002E0488">
              <w:rPr>
                <w:rFonts w:ascii="Times New Roman" w:eastAsia="Times New Roman" w:hAnsi="Times New Roman" w:cs="Times New Roman"/>
                <w:color w:val="000080"/>
                <w:sz w:val="20"/>
                <w:szCs w:val="20"/>
                <w:lang w:eastAsia="pl-PL"/>
              </w:rPr>
              <w:t>a prelekcja</w:t>
            </w:r>
            <w:r w:rsidRPr="00430168">
              <w:rPr>
                <w:rFonts w:ascii="Times New Roman" w:eastAsia="Times New Roman" w:hAnsi="Times New Roman" w:cs="Times New Roman"/>
                <w:color w:val="000080"/>
                <w:sz w:val="20"/>
                <w:szCs w:val="20"/>
                <w:lang w:eastAsia="pl-PL"/>
              </w:rPr>
              <w:t xml:space="preserve"> temat danego ćwiczenia. Po krótkiej przerwie są zajęcia praktyczne, które obejmują mikroskopową lub makroskopową obserwację pasożytów oraz wykonywanie dokumentacji obserwacji mikroskopowych (rysunki i oznaczenia), a także wypełnienie tabeli dotyczącej właściwości biologicznych omawianych gatunków pasożytów. </w:t>
            </w:r>
          </w:p>
        </w:tc>
      </w:tr>
      <w:tr w:rsidR="00430168" w:rsidRPr="00430168" w:rsidTr="00430168">
        <w:trPr>
          <w:tblCellSpacing w:w="0" w:type="dxa"/>
        </w:trPr>
        <w:tc>
          <w:tcPr>
            <w:tcW w:w="5000" w:type="pct"/>
            <w:gridSpan w:val="3"/>
            <w:hideMark/>
          </w:tcPr>
          <w:p w:rsidR="00430168" w:rsidRPr="00430168" w:rsidRDefault="00430168" w:rsidP="00430168">
            <w:pPr>
              <w:spacing w:before="150"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i/>
                <w:iCs/>
                <w:color w:val="800080"/>
                <w:lang w:eastAsia="pl-PL"/>
              </w:rPr>
              <w:t>B. SPRAWY PORZĄDKOWE</w:t>
            </w:r>
            <w:r w:rsidRPr="00430168">
              <w:rPr>
                <w:rFonts w:ascii="Times New Roman" w:eastAsia="Times New Roman" w:hAnsi="Times New Roman" w:cs="Times New Roman"/>
                <w:b/>
                <w:bCs/>
                <w:sz w:val="24"/>
                <w:szCs w:val="24"/>
                <w:lang w:eastAsia="pl-PL"/>
              </w:rPr>
              <w:t xml:space="preserve">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4.</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Garderobę (płaszcze, kurtki itp.) należy zostawić w szatni. Teczki, książki itp., oraz pokrowce od mikroskopów składa się na półce pod stołem.</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5.</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Studenci ponoszą odpowiedzialność materialną za mikroskopy i preparaty; w związku z tym, na początku ćwiczenia studenci sprawdzają mikroskopy i preparaty, a dostrzeżone braki lub uszkodzenia zgłaszają prowadzącemu zajęcia; za zniszczenie preparatu trwałego student wpłaca 15 zł do kasy UM (jest to najczęściej tylko 1/6 wartości preparatu!); dowód wpłaty przynosi prowadzącemu zajęcia. W przypadku uszkodzenia mikroskopu student pokrywa koszty jego naprawy wg wystawionego rachunku.</w:t>
            </w:r>
          </w:p>
        </w:tc>
      </w:tr>
      <w:tr w:rsidR="00430168" w:rsidRPr="00430168" w:rsidTr="00430168">
        <w:trPr>
          <w:tblCellSpacing w:w="0" w:type="dxa"/>
        </w:trPr>
        <w:tc>
          <w:tcPr>
            <w:tcW w:w="5000" w:type="pct"/>
            <w:gridSpan w:val="3"/>
            <w:hideMark/>
          </w:tcPr>
          <w:p w:rsidR="00430168" w:rsidRPr="00430168" w:rsidRDefault="00430168" w:rsidP="00430168">
            <w:pPr>
              <w:spacing w:before="150"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i/>
                <w:iCs/>
                <w:color w:val="800080"/>
                <w:lang w:eastAsia="pl-PL"/>
              </w:rPr>
              <w:t>C. SPRAWY BHP</w:t>
            </w:r>
            <w:r w:rsidRPr="00430168">
              <w:rPr>
                <w:rFonts w:ascii="Times New Roman" w:eastAsia="Times New Roman" w:hAnsi="Times New Roman" w:cs="Times New Roman"/>
                <w:b/>
                <w:bCs/>
                <w:sz w:val="24"/>
                <w:szCs w:val="24"/>
                <w:lang w:eastAsia="pl-PL"/>
              </w:rPr>
              <w:t xml:space="preserve">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6.</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Nie istnieje ryzyko zarażenia podczas oglądania preparatów "świeżych"; demonstrowane żywe pasożyty nie są inwazyjne dla człowieka, ponieważ nie są to stadia inwazyjne albo są to pasożyty swoiste jedynie dla zwierząt lub gatunki wolno żyjące, które są morfologicznie identyczne lub podobne do pasożytów występujących u ludzi. Preparaty "mokre" zawierające cysty (postaci inwazyjne) są utrwalone w formalinie i nie stanowią zagrożenia. Nie mniej we wszystkich </w:t>
            </w:r>
            <w:r w:rsidRPr="00430168">
              <w:rPr>
                <w:rFonts w:ascii="Times New Roman" w:eastAsia="Times New Roman" w:hAnsi="Times New Roman" w:cs="Times New Roman"/>
                <w:color w:val="000080"/>
                <w:sz w:val="20"/>
                <w:szCs w:val="20"/>
                <w:lang w:eastAsia="pl-PL"/>
              </w:rPr>
              <w:lastRenderedPageBreak/>
              <w:t>przypadkach należy zachować ostrożność i w przypadku zabrudzenia umyć ręce.</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lastRenderedPageBreak/>
              <w:t>7.</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Na sali ćwiczeń nie wolno spożywać napojów i żywności.</w:t>
            </w:r>
          </w:p>
        </w:tc>
      </w:tr>
      <w:tr w:rsidR="00430168" w:rsidRPr="00430168" w:rsidTr="00430168">
        <w:trPr>
          <w:tblCellSpacing w:w="0" w:type="dxa"/>
        </w:trPr>
        <w:tc>
          <w:tcPr>
            <w:tcW w:w="5000" w:type="pct"/>
            <w:gridSpan w:val="3"/>
            <w:hideMark/>
          </w:tcPr>
          <w:p w:rsidR="00430168" w:rsidRPr="00430168" w:rsidRDefault="00430168" w:rsidP="00430168">
            <w:pPr>
              <w:spacing w:before="150"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i/>
                <w:iCs/>
                <w:color w:val="800080"/>
                <w:lang w:eastAsia="pl-PL"/>
              </w:rPr>
              <w:t>D. REGULAMIN ZAJĘĆ</w:t>
            </w:r>
            <w:r w:rsidRPr="00430168">
              <w:rPr>
                <w:rFonts w:ascii="Times New Roman" w:eastAsia="Times New Roman" w:hAnsi="Times New Roman" w:cs="Times New Roman"/>
                <w:b/>
                <w:bCs/>
                <w:sz w:val="24"/>
                <w:szCs w:val="24"/>
                <w:lang w:eastAsia="pl-PL"/>
              </w:rPr>
              <w:t xml:space="preserve">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8.</w:t>
            </w:r>
          </w:p>
        </w:tc>
        <w:tc>
          <w:tcPr>
            <w:tcW w:w="4800" w:type="pct"/>
            <w:gridSpan w:val="2"/>
            <w:hideMark/>
          </w:tcPr>
          <w:p w:rsidR="00430168" w:rsidRPr="00430168" w:rsidRDefault="00430168" w:rsidP="002E048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Obecność na wszystkich zajęciach jest obowiązkowa, a na ćwiczeniach jest kontrolowana.</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9.</w:t>
            </w:r>
          </w:p>
        </w:tc>
        <w:tc>
          <w:tcPr>
            <w:tcW w:w="4800" w:type="pct"/>
            <w:gridSpan w:val="2"/>
            <w:hideMark/>
          </w:tcPr>
          <w:p w:rsidR="00430168" w:rsidRPr="00430168" w:rsidRDefault="00430168" w:rsidP="00CB358F">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Każde ćwiczenie zaczyna się punktualnie o wyznaczonej godzinie. Osoby spóźnione nie będą wpuszczane na zajęcia.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10.</w:t>
            </w:r>
          </w:p>
        </w:tc>
        <w:tc>
          <w:tcPr>
            <w:tcW w:w="4800" w:type="pct"/>
            <w:gridSpan w:val="2"/>
            <w:hideMark/>
          </w:tcPr>
          <w:p w:rsidR="00430168" w:rsidRPr="00430168" w:rsidRDefault="00430168" w:rsidP="002E048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Dwukrotne nie przygotowanie się do zajęć powoduje nie zaliczenie jednego dnia zajęć.</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11.</w:t>
            </w:r>
          </w:p>
        </w:tc>
        <w:tc>
          <w:tcPr>
            <w:tcW w:w="4800" w:type="pct"/>
            <w:gridSpan w:val="2"/>
            <w:hideMark/>
          </w:tcPr>
          <w:p w:rsidR="00430168" w:rsidRPr="00430168" w:rsidRDefault="00430168" w:rsidP="002E048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W przypadku </w:t>
            </w:r>
            <w:r w:rsidR="002E0488">
              <w:rPr>
                <w:rFonts w:ascii="Times New Roman" w:eastAsia="Times New Roman" w:hAnsi="Times New Roman" w:cs="Times New Roman"/>
                <w:color w:val="000080"/>
                <w:sz w:val="20"/>
                <w:szCs w:val="20"/>
                <w:lang w:eastAsia="pl-PL"/>
              </w:rPr>
              <w:t xml:space="preserve">usprawiedliwionego </w:t>
            </w:r>
            <w:r w:rsidRPr="00430168">
              <w:rPr>
                <w:rFonts w:ascii="Times New Roman" w:eastAsia="Times New Roman" w:hAnsi="Times New Roman" w:cs="Times New Roman"/>
                <w:color w:val="000080"/>
                <w:sz w:val="20"/>
                <w:szCs w:val="20"/>
                <w:lang w:eastAsia="pl-PL"/>
              </w:rPr>
              <w:t>opuszcz</w:t>
            </w:r>
            <w:r w:rsidR="002E0488">
              <w:rPr>
                <w:rFonts w:ascii="Times New Roman" w:eastAsia="Times New Roman" w:hAnsi="Times New Roman" w:cs="Times New Roman"/>
                <w:color w:val="000080"/>
                <w:sz w:val="20"/>
                <w:szCs w:val="20"/>
                <w:lang w:eastAsia="pl-PL"/>
              </w:rPr>
              <w:t xml:space="preserve">enia </w:t>
            </w:r>
            <w:r w:rsidRPr="00430168">
              <w:rPr>
                <w:rFonts w:ascii="Times New Roman" w:eastAsia="Times New Roman" w:hAnsi="Times New Roman" w:cs="Times New Roman"/>
                <w:color w:val="000080"/>
                <w:sz w:val="20"/>
                <w:szCs w:val="20"/>
                <w:lang w:eastAsia="pl-PL"/>
              </w:rPr>
              <w:t xml:space="preserve">zajęć, </w:t>
            </w:r>
            <w:r w:rsidR="002E0488">
              <w:rPr>
                <w:rFonts w:ascii="Times New Roman" w:eastAsia="Times New Roman" w:hAnsi="Times New Roman" w:cs="Times New Roman"/>
                <w:color w:val="000080"/>
                <w:sz w:val="20"/>
                <w:szCs w:val="20"/>
                <w:lang w:eastAsia="pl-PL"/>
              </w:rPr>
              <w:t xml:space="preserve">studenci </w:t>
            </w:r>
            <w:r w:rsidRPr="00430168">
              <w:rPr>
                <w:rFonts w:ascii="Times New Roman" w:eastAsia="Times New Roman" w:hAnsi="Times New Roman" w:cs="Times New Roman"/>
                <w:color w:val="000080"/>
                <w:sz w:val="20"/>
                <w:szCs w:val="20"/>
                <w:lang w:eastAsia="pl-PL"/>
              </w:rPr>
              <w:t xml:space="preserve">muszą zdać ustnie materiał </w:t>
            </w:r>
            <w:r w:rsidR="002E0488">
              <w:rPr>
                <w:rFonts w:ascii="Times New Roman" w:eastAsia="Times New Roman" w:hAnsi="Times New Roman" w:cs="Times New Roman"/>
                <w:color w:val="000080"/>
                <w:sz w:val="20"/>
                <w:szCs w:val="20"/>
                <w:lang w:eastAsia="pl-PL"/>
              </w:rPr>
              <w:t xml:space="preserve">z zakresu danego ćwiczenia </w:t>
            </w:r>
            <w:r w:rsidRPr="00430168">
              <w:rPr>
                <w:rFonts w:ascii="Times New Roman" w:eastAsia="Times New Roman" w:hAnsi="Times New Roman" w:cs="Times New Roman"/>
                <w:color w:val="000080"/>
                <w:sz w:val="20"/>
                <w:szCs w:val="20"/>
                <w:lang w:eastAsia="pl-PL"/>
              </w:rPr>
              <w:t>u prowadzącego grupę przed przystąpieniem do sprawdzianu testowego.</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12.</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Rysunki i schematy w </w:t>
            </w:r>
            <w:r w:rsidRPr="00430168">
              <w:rPr>
                <w:rFonts w:ascii="Times New Roman" w:eastAsia="Times New Roman" w:hAnsi="Times New Roman" w:cs="Times New Roman"/>
                <w:i/>
                <w:iCs/>
                <w:color w:val="000080"/>
                <w:sz w:val="20"/>
                <w:szCs w:val="20"/>
                <w:lang w:eastAsia="pl-PL"/>
              </w:rPr>
              <w:t>Zeszycie do ćwiczeń</w:t>
            </w:r>
            <w:r w:rsidRPr="00430168">
              <w:rPr>
                <w:rFonts w:ascii="Times New Roman" w:eastAsia="Times New Roman" w:hAnsi="Times New Roman" w:cs="Times New Roman"/>
                <w:color w:val="000080"/>
                <w:sz w:val="20"/>
                <w:szCs w:val="20"/>
                <w:lang w:eastAsia="pl-PL"/>
              </w:rPr>
              <w:t xml:space="preserve"> muszą być wykonane starannie, natomiast tabele dotyczące biologicznej charakterystyki pasożytów należy prawidłowo uzupełnić.</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13.</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Ćwiczenia kończą się:</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right"/>
              <w:rPr>
                <w:rFonts w:ascii="Times New Roman" w:eastAsia="Times New Roman" w:hAnsi="Times New Roman" w:cs="Times New Roman"/>
                <w:sz w:val="24"/>
                <w:szCs w:val="24"/>
                <w:lang w:eastAsia="pl-PL"/>
              </w:rPr>
            </w:pPr>
          </w:p>
        </w:tc>
        <w:tc>
          <w:tcPr>
            <w:tcW w:w="15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a)</w:t>
            </w:r>
          </w:p>
        </w:tc>
        <w:tc>
          <w:tcPr>
            <w:tcW w:w="4650" w:type="pct"/>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multimedialnym sprawdzianem praktycznym (8 oryginalnych przypadków do rozpoznania);</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p>
        </w:tc>
        <w:tc>
          <w:tcPr>
            <w:tcW w:w="15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b)</w:t>
            </w:r>
          </w:p>
        </w:tc>
        <w:tc>
          <w:tcPr>
            <w:tcW w:w="4650" w:type="pct"/>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 xml:space="preserve">testowym sprawdzianem teoretycznym (30 pytań/30 min.).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right"/>
              <w:rPr>
                <w:rFonts w:ascii="Times New Roman" w:eastAsia="Times New Roman" w:hAnsi="Times New Roman" w:cs="Times New Roman"/>
                <w:sz w:val="24"/>
                <w:szCs w:val="24"/>
                <w:lang w:eastAsia="pl-PL"/>
              </w:rPr>
            </w:pPr>
          </w:p>
        </w:tc>
        <w:tc>
          <w:tcPr>
            <w:tcW w:w="4800" w:type="pct"/>
            <w:gridSpan w:val="2"/>
            <w:hideMark/>
          </w:tcPr>
          <w:p w:rsidR="00CB358F" w:rsidRDefault="00430168" w:rsidP="00CB358F">
            <w:pPr>
              <w:spacing w:after="0" w:line="360" w:lineRule="auto"/>
              <w:rPr>
                <w:rFonts w:ascii="Times New Roman" w:eastAsia="Times New Roman" w:hAnsi="Times New Roman" w:cs="Times New Roman"/>
                <w:color w:val="000080"/>
                <w:sz w:val="20"/>
                <w:szCs w:val="20"/>
                <w:lang w:eastAsia="pl-PL"/>
              </w:rPr>
            </w:pPr>
            <w:r w:rsidRPr="00430168">
              <w:rPr>
                <w:rFonts w:ascii="Times New Roman" w:eastAsia="Times New Roman" w:hAnsi="Times New Roman" w:cs="Times New Roman"/>
                <w:color w:val="000080"/>
                <w:sz w:val="20"/>
                <w:szCs w:val="20"/>
                <w:lang w:eastAsia="pl-PL"/>
              </w:rPr>
              <w:t xml:space="preserve">Do sprawdzianów przystępują studenci obecni na wszystkich ćwiczeniach. </w:t>
            </w:r>
          </w:p>
          <w:p w:rsidR="00430168" w:rsidRPr="00430168" w:rsidRDefault="00430168" w:rsidP="00CB358F">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u w:val="single"/>
                <w:lang w:eastAsia="pl-PL"/>
              </w:rPr>
              <w:t>Studenci, którzy:</w:t>
            </w:r>
            <w:r w:rsidRPr="00430168">
              <w:rPr>
                <w:rFonts w:ascii="Times New Roman" w:eastAsia="Times New Roman" w:hAnsi="Times New Roman" w:cs="Times New Roman"/>
                <w:color w:val="000080"/>
                <w:sz w:val="20"/>
                <w:szCs w:val="20"/>
                <w:lang w:eastAsia="pl-PL"/>
              </w:rPr>
              <w:t xml:space="preserve"> </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right"/>
              <w:rPr>
                <w:rFonts w:ascii="Times New Roman" w:eastAsia="Times New Roman" w:hAnsi="Times New Roman" w:cs="Times New Roman"/>
                <w:sz w:val="24"/>
                <w:szCs w:val="24"/>
                <w:lang w:eastAsia="pl-PL"/>
              </w:rPr>
            </w:pPr>
          </w:p>
        </w:tc>
        <w:tc>
          <w:tcPr>
            <w:tcW w:w="15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c)</w:t>
            </w:r>
          </w:p>
        </w:tc>
        <w:tc>
          <w:tcPr>
            <w:tcW w:w="4650" w:type="pct"/>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prawidłowo rozpoznali (zdiagnozowali) minimum 5 przypadków w trakcie multimedialnego sprawdzianu praktycznego;</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right"/>
              <w:rPr>
                <w:rFonts w:ascii="Times New Roman" w:eastAsia="Times New Roman" w:hAnsi="Times New Roman" w:cs="Times New Roman"/>
                <w:sz w:val="24"/>
                <w:szCs w:val="24"/>
                <w:lang w:eastAsia="pl-PL"/>
              </w:rPr>
            </w:pPr>
          </w:p>
        </w:tc>
        <w:tc>
          <w:tcPr>
            <w:tcW w:w="15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d)</w:t>
            </w:r>
          </w:p>
        </w:tc>
        <w:tc>
          <w:tcPr>
            <w:tcW w:w="4650" w:type="pct"/>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otrzymali 18 punktów z testowego sprawdzianu teoretycznego;</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right"/>
              <w:rPr>
                <w:rFonts w:ascii="Times New Roman" w:eastAsia="Times New Roman" w:hAnsi="Times New Roman" w:cs="Times New Roman"/>
                <w:sz w:val="24"/>
                <w:szCs w:val="24"/>
                <w:lang w:eastAsia="pl-PL"/>
              </w:rPr>
            </w:pPr>
          </w:p>
        </w:tc>
        <w:tc>
          <w:tcPr>
            <w:tcW w:w="4800" w:type="pct"/>
            <w:gridSpan w:val="2"/>
            <w:hideMark/>
          </w:tcPr>
          <w:p w:rsidR="00CB358F" w:rsidRDefault="00430168" w:rsidP="00430168">
            <w:pPr>
              <w:spacing w:after="0" w:line="360" w:lineRule="auto"/>
              <w:rPr>
                <w:rFonts w:ascii="Times New Roman" w:eastAsia="Times New Roman" w:hAnsi="Times New Roman" w:cs="Times New Roman"/>
                <w:color w:val="000080"/>
                <w:sz w:val="20"/>
                <w:szCs w:val="20"/>
                <w:lang w:eastAsia="pl-PL"/>
              </w:rPr>
            </w:pPr>
            <w:r w:rsidRPr="00430168">
              <w:rPr>
                <w:rFonts w:ascii="Times New Roman" w:eastAsia="Times New Roman" w:hAnsi="Times New Roman" w:cs="Times New Roman"/>
                <w:color w:val="000080"/>
                <w:sz w:val="20"/>
                <w:szCs w:val="20"/>
                <w:lang w:eastAsia="pl-PL"/>
              </w:rPr>
              <w:t xml:space="preserve">uzyskują zaliczenie przedmiotu. </w:t>
            </w:r>
          </w:p>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Studenci, którzy nie zaliczyli zajęć na podstawie sprawdzianów mają możliwość dwukrotnego, ustnego zaliczenia u prowadzącego zajęcia.</w:t>
            </w:r>
          </w:p>
        </w:tc>
      </w:tr>
      <w:tr w:rsidR="00430168" w:rsidRPr="00430168" w:rsidTr="00430168">
        <w:trPr>
          <w:tblCellSpacing w:w="0" w:type="dxa"/>
        </w:trPr>
        <w:tc>
          <w:tcPr>
            <w:tcW w:w="200" w:type="pct"/>
            <w:hideMark/>
          </w:tcPr>
          <w:p w:rsidR="00430168" w:rsidRPr="00430168" w:rsidRDefault="00430168" w:rsidP="00430168">
            <w:pPr>
              <w:spacing w:after="0" w:line="360" w:lineRule="auto"/>
              <w:jc w:val="center"/>
              <w:rPr>
                <w:rFonts w:ascii="Times New Roman" w:eastAsia="Times New Roman" w:hAnsi="Times New Roman" w:cs="Times New Roman"/>
                <w:sz w:val="24"/>
                <w:szCs w:val="24"/>
                <w:lang w:eastAsia="pl-PL"/>
              </w:rPr>
            </w:pPr>
            <w:r w:rsidRPr="00430168">
              <w:rPr>
                <w:rFonts w:ascii="Times New Roman" w:eastAsia="Times New Roman" w:hAnsi="Times New Roman" w:cs="Times New Roman"/>
                <w:b/>
                <w:bCs/>
                <w:color w:val="000080"/>
                <w:sz w:val="20"/>
                <w:szCs w:val="20"/>
                <w:lang w:eastAsia="pl-PL"/>
              </w:rPr>
              <w:t>14.</w:t>
            </w:r>
          </w:p>
        </w:tc>
        <w:tc>
          <w:tcPr>
            <w:tcW w:w="4800" w:type="pct"/>
            <w:gridSpan w:val="2"/>
            <w:hideMark/>
          </w:tcPr>
          <w:p w:rsidR="00430168" w:rsidRPr="00430168" w:rsidRDefault="00430168" w:rsidP="00430168">
            <w:pPr>
              <w:spacing w:after="0" w:line="360" w:lineRule="auto"/>
              <w:rPr>
                <w:rFonts w:ascii="Times New Roman" w:eastAsia="Times New Roman" w:hAnsi="Times New Roman" w:cs="Times New Roman"/>
                <w:sz w:val="24"/>
                <w:szCs w:val="24"/>
                <w:lang w:eastAsia="pl-PL"/>
              </w:rPr>
            </w:pPr>
            <w:r w:rsidRPr="00430168">
              <w:rPr>
                <w:rFonts w:ascii="Times New Roman" w:eastAsia="Times New Roman" w:hAnsi="Times New Roman" w:cs="Times New Roman"/>
                <w:color w:val="000080"/>
                <w:sz w:val="20"/>
                <w:szCs w:val="20"/>
                <w:lang w:eastAsia="pl-PL"/>
              </w:rPr>
              <w:t>Wyniki uzyskane przez studentów będą publikowane na stronie internetowej Katedry oraz w systemie WISUS.</w:t>
            </w:r>
          </w:p>
        </w:tc>
      </w:tr>
    </w:tbl>
    <w:p w:rsidR="00035791" w:rsidRDefault="00035791"/>
    <w:sectPr w:rsidR="00035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68"/>
    <w:rsid w:val="00035791"/>
    <w:rsid w:val="002E0488"/>
    <w:rsid w:val="002F1D1A"/>
    <w:rsid w:val="00430168"/>
    <w:rsid w:val="008135C8"/>
    <w:rsid w:val="00CB3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2FAE9-81D5-4ECA-8B27-3CDD17C7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lowek">
    <w:name w:val="naglowek"/>
    <w:basedOn w:val="Domylnaczcionkaakapitu"/>
    <w:rsid w:val="00430168"/>
  </w:style>
  <w:style w:type="paragraph" w:styleId="NormalnyWeb">
    <w:name w:val="Normal (Web)"/>
    <w:basedOn w:val="Normalny"/>
    <w:uiPriority w:val="99"/>
    <w:unhideWhenUsed/>
    <w:rsid w:val="0043016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2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3723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user</cp:lastModifiedBy>
  <cp:revision>2</cp:revision>
  <dcterms:created xsi:type="dcterms:W3CDTF">2018-12-12T09:37:00Z</dcterms:created>
  <dcterms:modified xsi:type="dcterms:W3CDTF">2018-12-12T09:37:00Z</dcterms:modified>
</cp:coreProperties>
</file>