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F4924" w14:textId="77777777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3300"/>
        </w:rPr>
        <w:t xml:space="preserve">PROGRAM </w:t>
      </w:r>
      <w:r w:rsidRPr="00D57DA7">
        <w:rPr>
          <w:b/>
          <w:bCs/>
          <w:color w:val="000000" w:themeColor="text1"/>
        </w:rPr>
        <w:t>NAUCZANIA PRZEDMIOTU/MODUŁU OBOWIĄZKOWEGO</w:t>
      </w:r>
    </w:p>
    <w:p w14:paraId="7CE5AC8A" w14:textId="77777777" w:rsidR="004D3A00" w:rsidRPr="00D57DA7" w:rsidRDefault="004D3A00" w:rsidP="004D3A00">
      <w:pPr>
        <w:spacing w:line="139" w:lineRule="exact"/>
        <w:rPr>
          <w:color w:val="000000" w:themeColor="text1"/>
          <w:u w:val="single"/>
        </w:rPr>
      </w:pPr>
    </w:p>
    <w:p w14:paraId="121913E6" w14:textId="77777777" w:rsidR="004D3A00" w:rsidRPr="00D57DA7" w:rsidRDefault="004D3A00" w:rsidP="004D3A00">
      <w:pPr>
        <w:ind w:right="-113"/>
        <w:jc w:val="center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>NA WYDZIALE LEKARSKIM II</w:t>
      </w:r>
    </w:p>
    <w:p w14:paraId="671D0DAF" w14:textId="77777777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 xml:space="preserve">NA KIERUNKU LEKARSKIM </w:t>
      </w:r>
      <w:r w:rsidRPr="00D57DA7">
        <w:rPr>
          <w:b/>
          <w:bCs/>
          <w:color w:val="000000" w:themeColor="text1"/>
        </w:rPr>
        <w:softHyphen/>
      </w:r>
      <w:r w:rsidRPr="00D57DA7">
        <w:rPr>
          <w:b/>
          <w:bCs/>
          <w:color w:val="000000" w:themeColor="text1"/>
        </w:rPr>
        <w:softHyphen/>
      </w:r>
      <w:r w:rsidRPr="00D57DA7">
        <w:rPr>
          <w:b/>
          <w:bCs/>
          <w:color w:val="000000" w:themeColor="text1"/>
        </w:rPr>
        <w:softHyphen/>
      </w:r>
    </w:p>
    <w:p w14:paraId="60A2D614" w14:textId="77777777" w:rsidR="004D3A00" w:rsidRPr="00D57DA7" w:rsidRDefault="004D3A00" w:rsidP="004D3A00">
      <w:pPr>
        <w:spacing w:line="137" w:lineRule="exact"/>
        <w:rPr>
          <w:color w:val="000000" w:themeColor="text1"/>
          <w:u w:val="single"/>
        </w:rPr>
      </w:pPr>
    </w:p>
    <w:p w14:paraId="61FB9F7F" w14:textId="0B6BA619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>ROK AKADEMICKI 20</w:t>
      </w:r>
      <w:r w:rsidR="005C7A5F" w:rsidRPr="00D57DA7">
        <w:rPr>
          <w:b/>
          <w:bCs/>
          <w:color w:val="000000" w:themeColor="text1"/>
        </w:rPr>
        <w:t>18/2019</w:t>
      </w:r>
    </w:p>
    <w:p w14:paraId="0D22AA00" w14:textId="77777777" w:rsidR="004D3A00" w:rsidRPr="00D57DA7" w:rsidRDefault="004D3A00" w:rsidP="004D3A00">
      <w:pPr>
        <w:spacing w:line="139" w:lineRule="exact"/>
        <w:rPr>
          <w:color w:val="000000" w:themeColor="text1"/>
          <w:u w:val="single"/>
        </w:rPr>
      </w:pPr>
    </w:p>
    <w:p w14:paraId="05E073D5" w14:textId="21E53283" w:rsidR="004D3A00" w:rsidRPr="00D57DA7" w:rsidRDefault="004D3A00" w:rsidP="004D3A00">
      <w:pPr>
        <w:ind w:right="-113"/>
        <w:jc w:val="center"/>
        <w:rPr>
          <w:color w:val="000000" w:themeColor="text1"/>
          <w:sz w:val="20"/>
          <w:szCs w:val="20"/>
        </w:rPr>
      </w:pPr>
      <w:r w:rsidRPr="00D57DA7">
        <w:rPr>
          <w:b/>
          <w:bCs/>
          <w:color w:val="000000" w:themeColor="text1"/>
        </w:rPr>
        <w:t>PRZEWODNIK DYDAKTYCZNY dla STUDENTÓW I</w:t>
      </w:r>
      <w:r w:rsidR="005C7A5F" w:rsidRPr="00D57DA7">
        <w:rPr>
          <w:b/>
          <w:bCs/>
          <w:color w:val="000000" w:themeColor="text1"/>
        </w:rPr>
        <w:t>II</w:t>
      </w:r>
      <w:r w:rsidRPr="00D57DA7">
        <w:rPr>
          <w:b/>
          <w:bCs/>
          <w:color w:val="000000" w:themeColor="text1"/>
        </w:rPr>
        <w:t xml:space="preserve"> ROKU STUDIÓW</w:t>
      </w:r>
      <w:r w:rsidR="00BB2B02">
        <w:rPr>
          <w:b/>
          <w:bCs/>
          <w:color w:val="000000" w:themeColor="text1"/>
        </w:rPr>
        <w:t>, 2</w:t>
      </w:r>
      <w:bookmarkStart w:id="0" w:name="_GoBack"/>
      <w:bookmarkEnd w:id="0"/>
      <w:r w:rsidRPr="00D57DA7">
        <w:rPr>
          <w:b/>
          <w:bCs/>
          <w:color w:val="000000" w:themeColor="text1"/>
        </w:rPr>
        <w:t>. rok nauczania języka angielskiego</w:t>
      </w:r>
    </w:p>
    <w:p w14:paraId="0EC85DD7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</w:p>
    <w:p w14:paraId="37C4C212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 1. NAZWA PRZEDMIOTU/MODUŁU : JĘZYK ANGIELSKI</w:t>
      </w:r>
    </w:p>
    <w:p w14:paraId="1255F286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</w:t>
      </w:r>
    </w:p>
    <w:p w14:paraId="0645CB2F" w14:textId="77777777" w:rsidR="004D3A00" w:rsidRPr="00D57DA7" w:rsidRDefault="004D3A00" w:rsidP="004D3A00">
      <w:pPr>
        <w:spacing w:line="360" w:lineRule="auto"/>
        <w:rPr>
          <w:b/>
          <w:bCs/>
          <w:color w:val="000000" w:themeColor="text1"/>
        </w:rPr>
      </w:pPr>
      <w:r w:rsidRPr="00D57DA7">
        <w:rPr>
          <w:b/>
          <w:bCs/>
          <w:color w:val="000000" w:themeColor="text1"/>
        </w:rPr>
        <w:t xml:space="preserve">      2. NAZWA JEDNOSTKI (jednostek ) realizującej przedmiot/moduł: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4D3A00" w:rsidRPr="00D57DA7" w14:paraId="0F528EDE" w14:textId="77777777" w:rsidTr="00C93D2B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E908F02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Studium Języków Obcych</w:t>
            </w:r>
          </w:p>
          <w:p w14:paraId="4ACB1DC3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_______________________________________</w:t>
            </w:r>
          </w:p>
          <w:p w14:paraId="6D419A1A" w14:textId="77777777" w:rsidR="004D3A00" w:rsidRPr="00D57DA7" w:rsidRDefault="004D3A00" w:rsidP="00C93D2B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D57DA7">
              <w:t>_______________________________________</w:t>
            </w:r>
          </w:p>
          <w:p w14:paraId="08C1D69A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4299B055" w14:textId="77777777" w:rsidTr="00C93D2B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D3F819C" w14:textId="77777777" w:rsidR="004D3A00" w:rsidRPr="00D57DA7" w:rsidRDefault="004D3A00" w:rsidP="00C93D2B">
            <w:pPr>
              <w:ind w:left="1060"/>
              <w:rPr>
                <w:sz w:val="20"/>
                <w:szCs w:val="20"/>
              </w:rPr>
            </w:pPr>
            <w:r w:rsidRPr="00D57DA7">
              <w:t>Uniwersytetu Medycznego im. Karola Marcinkowskiego w Poznaniu</w:t>
            </w:r>
          </w:p>
          <w:p w14:paraId="385C28E5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D0E903C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</w:rPr>
      </w:pPr>
    </w:p>
    <w:p w14:paraId="52C02217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FF0000"/>
        </w:rPr>
      </w:pPr>
      <w:r w:rsidRPr="00D57DA7">
        <w:rPr>
          <w:b/>
          <w:bCs/>
          <w:color w:val="003300"/>
        </w:rPr>
        <w:t xml:space="preserve">3. Adres </w:t>
      </w:r>
      <w:r w:rsidRPr="00D57DA7">
        <w:rPr>
          <w:b/>
          <w:bCs/>
          <w:color w:val="000000" w:themeColor="text1"/>
        </w:rPr>
        <w:t>jednostki 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D3A00" w:rsidRPr="00BB2B02" w14:paraId="7C9703E7" w14:textId="77777777" w:rsidTr="00C93D2B">
        <w:tc>
          <w:tcPr>
            <w:tcW w:w="9000" w:type="dxa"/>
          </w:tcPr>
          <w:p w14:paraId="2FE8B375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Adres: Marcelińska 27</w:t>
            </w:r>
          </w:p>
          <w:p w14:paraId="0D3966F3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/Fax 61 854 77 33 </w:t>
            </w:r>
            <w:r w:rsidRPr="00D57DA7">
              <w:rPr>
                <w:rFonts w:eastAsia="Calibri"/>
                <w:color w:val="202A36"/>
                <w:lang w:val="en-US" w:eastAsia="en-GB"/>
              </w:rPr>
              <w:t>fax. 61 854 74 35</w:t>
            </w:r>
          </w:p>
          <w:p w14:paraId="6E2F2AC7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Strona WWW http://sjo.ump.edu.pl</w:t>
            </w:r>
          </w:p>
          <w:p w14:paraId="2288FE78" w14:textId="77777777" w:rsidR="004D3A00" w:rsidRPr="00D57DA7" w:rsidRDefault="004D3A00" w:rsidP="00C93D2B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>E-mail sjo@ump.edu.pl</w:t>
            </w:r>
          </w:p>
        </w:tc>
      </w:tr>
    </w:tbl>
    <w:p w14:paraId="487DAB9B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82D285C" w14:textId="77777777" w:rsidR="004D3A00" w:rsidRPr="00D57DA7" w:rsidRDefault="004D3A00" w:rsidP="004D3A00">
      <w:pPr>
        <w:spacing w:line="360" w:lineRule="auto"/>
        <w:ind w:left="360"/>
        <w:rPr>
          <w:color w:val="003300"/>
        </w:rPr>
      </w:pPr>
      <w:r w:rsidRPr="00D57DA7">
        <w:rPr>
          <w:b/>
          <w:bCs/>
          <w:color w:val="003300"/>
        </w:rPr>
        <w:t>4. Kierownik jednostki</w:t>
      </w:r>
      <w:r w:rsidRPr="00D57DA7"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D3A00" w:rsidRPr="00D57DA7" w14:paraId="0FD33375" w14:textId="77777777" w:rsidTr="00C93D2B">
        <w:tc>
          <w:tcPr>
            <w:tcW w:w="9000" w:type="dxa"/>
          </w:tcPr>
          <w:p w14:paraId="17721D1A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>Nazwisko i imię: dr Maria Nowosadko</w:t>
            </w:r>
          </w:p>
        </w:tc>
      </w:tr>
    </w:tbl>
    <w:p w14:paraId="3469CE25" w14:textId="77777777" w:rsidR="004D3A00" w:rsidRPr="00D57DA7" w:rsidRDefault="004D3A00" w:rsidP="004D3A00">
      <w:pPr>
        <w:spacing w:line="360" w:lineRule="auto"/>
        <w:ind w:left="360"/>
        <w:rPr>
          <w:b/>
          <w:bCs/>
        </w:rPr>
      </w:pPr>
    </w:p>
    <w:p w14:paraId="5A163596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0000" w:themeColor="text1"/>
        </w:rPr>
      </w:pPr>
      <w:r w:rsidRPr="00D57DA7">
        <w:rPr>
          <w:b/>
          <w:bCs/>
          <w:color w:val="003300"/>
        </w:rPr>
        <w:t xml:space="preserve">5. Koordynator </w:t>
      </w:r>
      <w:r w:rsidRPr="00D57DA7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D3A00" w:rsidRPr="00BB2B02" w14:paraId="7D6CABE5" w14:textId="77777777" w:rsidTr="00C93D2B">
        <w:tc>
          <w:tcPr>
            <w:tcW w:w="9000" w:type="dxa"/>
          </w:tcPr>
          <w:p w14:paraId="211294A9" w14:textId="72219AFC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Nazwisko i imię: </w:t>
            </w:r>
            <w:r w:rsidR="005C7A5F" w:rsidRPr="00D57DA7">
              <w:rPr>
                <w:b/>
                <w:bCs/>
                <w:lang w:eastAsia="en-US"/>
              </w:rPr>
              <w:t xml:space="preserve">mgr Anna Zaborowska-Cinciała </w:t>
            </w:r>
          </w:p>
          <w:p w14:paraId="60DDD0B7" w14:textId="5B97F941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kontaktowy: </w:t>
            </w:r>
            <w:r w:rsidR="005C7A5F" w:rsidRPr="00D57DA7">
              <w:rPr>
                <w:b/>
                <w:bCs/>
                <w:lang w:eastAsia="en-US"/>
              </w:rPr>
              <w:t>607 572 247</w:t>
            </w:r>
          </w:p>
          <w:p w14:paraId="389CD499" w14:textId="2020F272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 xml:space="preserve">E-mail: </w:t>
            </w:r>
            <w:r w:rsidR="005C7A5F" w:rsidRPr="00D57DA7">
              <w:rPr>
                <w:b/>
                <w:bCs/>
                <w:lang w:val="en-GB" w:eastAsia="en-US"/>
              </w:rPr>
              <w:t xml:space="preserve">annacinciala@ump.edu.pl </w:t>
            </w:r>
          </w:p>
          <w:p w14:paraId="0E43B634" w14:textId="77777777" w:rsidR="005C7A5F" w:rsidRPr="00D57DA7" w:rsidRDefault="004D3A00" w:rsidP="005C7A5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Osoba zastępująca </w:t>
            </w:r>
            <w:r w:rsidR="005C7A5F" w:rsidRPr="00D57DA7">
              <w:rPr>
                <w:b/>
                <w:bCs/>
                <w:lang w:eastAsia="en-US"/>
              </w:rPr>
              <w:t>mgr Sylwia Wiśniewska-</w:t>
            </w:r>
            <w:proofErr w:type="spellStart"/>
            <w:r w:rsidR="005C7A5F" w:rsidRPr="00D57DA7">
              <w:rPr>
                <w:b/>
                <w:bCs/>
                <w:lang w:eastAsia="en-US"/>
              </w:rPr>
              <w:t>Leśków</w:t>
            </w:r>
            <w:proofErr w:type="spellEnd"/>
          </w:p>
          <w:p w14:paraId="2C0DD9C6" w14:textId="4B53740D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Tel. kontaktowy: </w:t>
            </w:r>
            <w:r w:rsidR="005C7A5F" w:rsidRPr="00D57DA7">
              <w:rPr>
                <w:b/>
                <w:bCs/>
                <w:lang w:eastAsia="en-US"/>
              </w:rPr>
              <w:t xml:space="preserve">607 63 83 94 </w:t>
            </w:r>
          </w:p>
          <w:p w14:paraId="2A6846B1" w14:textId="2B01B24B" w:rsidR="004D3A00" w:rsidRPr="00D57DA7" w:rsidRDefault="004D3A00" w:rsidP="005C7A5F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GB" w:eastAsia="en-US"/>
              </w:rPr>
            </w:pPr>
            <w:r w:rsidRPr="00D57DA7">
              <w:rPr>
                <w:b/>
                <w:bCs/>
                <w:lang w:val="en-GB" w:eastAsia="en-US"/>
              </w:rPr>
              <w:t xml:space="preserve">E-mail: </w:t>
            </w:r>
            <w:r w:rsidR="005C7A5F" w:rsidRPr="00D57DA7">
              <w:rPr>
                <w:b/>
                <w:bCs/>
                <w:lang w:val="en-GB" w:eastAsia="en-US"/>
              </w:rPr>
              <w:t>sleskow@ump.edu.pl</w:t>
            </w:r>
          </w:p>
        </w:tc>
      </w:tr>
    </w:tbl>
    <w:p w14:paraId="4D0B67DA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499BF32E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7ECD1582" w14:textId="77777777" w:rsidR="004D3A00" w:rsidRPr="00D57DA7" w:rsidRDefault="004D3A00" w:rsidP="004D3A00">
      <w:pPr>
        <w:spacing w:line="360" w:lineRule="auto"/>
        <w:ind w:left="360"/>
        <w:rPr>
          <w:b/>
          <w:bCs/>
          <w:lang w:val="en-GB"/>
        </w:rPr>
      </w:pPr>
    </w:p>
    <w:p w14:paraId="1CBF085A" w14:textId="77777777" w:rsidR="004D3A00" w:rsidRPr="00D57DA7" w:rsidRDefault="004D3A00" w:rsidP="004D3A00">
      <w:pPr>
        <w:spacing w:line="360" w:lineRule="auto"/>
        <w:ind w:left="360"/>
        <w:rPr>
          <w:color w:val="385623"/>
        </w:rPr>
      </w:pPr>
      <w:r w:rsidRPr="00D57DA7">
        <w:rPr>
          <w:b/>
          <w:bCs/>
          <w:color w:val="385623"/>
        </w:rPr>
        <w:t xml:space="preserve">6. Osoba zaliczająca </w:t>
      </w:r>
      <w:r w:rsidRPr="00D57DA7">
        <w:rPr>
          <w:b/>
          <w:bCs/>
          <w:color w:val="000000" w:themeColor="text1"/>
        </w:rPr>
        <w:t xml:space="preserve">przedmiot/moduł w </w:t>
      </w:r>
      <w:r w:rsidRPr="00D57DA7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D3A00" w:rsidRPr="00BB2B02" w14:paraId="24759FD1" w14:textId="77777777" w:rsidTr="00C93D2B">
        <w:tc>
          <w:tcPr>
            <w:tcW w:w="9000" w:type="dxa"/>
          </w:tcPr>
          <w:p w14:paraId="67B01C5D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>Nazwisko i imię: dr Maria Nowosadko</w:t>
            </w:r>
          </w:p>
          <w:p w14:paraId="6A3D1A69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</w:pPr>
            <w:r w:rsidRPr="00D57DA7">
              <w:t xml:space="preserve">Tel. Kontaktowy </w:t>
            </w:r>
            <w:r w:rsidRPr="00D57DA7">
              <w:rPr>
                <w:rFonts w:eastAsia="Calibri"/>
                <w:color w:val="202A36"/>
                <w:lang w:val="en-US" w:eastAsia="en-GB"/>
              </w:rPr>
              <w:t>61 854 74 34</w:t>
            </w:r>
          </w:p>
          <w:p w14:paraId="452B2D4C" w14:textId="77777777" w:rsidR="004D3A00" w:rsidRPr="00D57DA7" w:rsidRDefault="004D3A00" w:rsidP="00C93D2B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GB"/>
              </w:rPr>
            </w:pPr>
            <w:r w:rsidRPr="00D57DA7">
              <w:rPr>
                <w:lang w:val="en-GB"/>
              </w:rPr>
              <w:t>E-mail: mnowosadko@ump.edu.pl</w:t>
            </w:r>
          </w:p>
        </w:tc>
      </w:tr>
    </w:tbl>
    <w:p w14:paraId="4F80DB48" w14:textId="77777777" w:rsidR="004D3A00" w:rsidRPr="00D57DA7" w:rsidRDefault="004D3A00" w:rsidP="004D3A00">
      <w:pPr>
        <w:spacing w:line="360" w:lineRule="auto"/>
        <w:ind w:left="360"/>
        <w:rPr>
          <w:b/>
          <w:bCs/>
          <w:color w:val="003300"/>
          <w:lang w:val="en-GB"/>
        </w:rPr>
      </w:pPr>
    </w:p>
    <w:p w14:paraId="1D694881" w14:textId="77777777" w:rsidR="004D3A00" w:rsidRPr="00D57DA7" w:rsidRDefault="004D3A00" w:rsidP="004D3A00">
      <w:pPr>
        <w:tabs>
          <w:tab w:val="num" w:pos="0"/>
        </w:tabs>
        <w:jc w:val="both"/>
        <w:rPr>
          <w:b/>
          <w:bCs/>
          <w:lang w:val="en-GB"/>
        </w:rPr>
      </w:pPr>
    </w:p>
    <w:p w14:paraId="6B0F2D31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  <w:r w:rsidRPr="00D57DA7">
        <w:rPr>
          <w:b/>
          <w:bCs/>
          <w:color w:val="003300"/>
          <w:lang w:val="en-GB"/>
        </w:rPr>
        <w:t xml:space="preserve">      </w:t>
      </w:r>
      <w:r w:rsidRPr="00D57DA7">
        <w:rPr>
          <w:b/>
          <w:bCs/>
          <w:color w:val="003300"/>
        </w:rPr>
        <w:t>7. Miejsce przedmiotu w programie studiów:</w:t>
      </w:r>
    </w:p>
    <w:p w14:paraId="404590B6" w14:textId="28DB7328" w:rsidR="004D3A00" w:rsidRPr="00D57DA7" w:rsidRDefault="004D3A00" w:rsidP="004D3A00">
      <w:pPr>
        <w:spacing w:line="360" w:lineRule="auto"/>
        <w:rPr>
          <w:b/>
          <w:bCs/>
        </w:rPr>
      </w:pPr>
      <w:r w:rsidRPr="00D57DA7">
        <w:rPr>
          <w:b/>
          <w:bCs/>
        </w:rPr>
        <w:tab/>
      </w:r>
      <w:r w:rsidRPr="00D57DA7">
        <w:rPr>
          <w:b/>
          <w:bCs/>
        </w:rPr>
        <w:tab/>
        <w:t>Rok: III</w:t>
      </w:r>
    </w:p>
    <w:p w14:paraId="47CD5CC6" w14:textId="4140DA79" w:rsidR="004D3A00" w:rsidRPr="00D57DA7" w:rsidRDefault="004D3A00" w:rsidP="004D3A00">
      <w:pPr>
        <w:spacing w:line="360" w:lineRule="auto"/>
        <w:rPr>
          <w:b/>
          <w:bCs/>
        </w:rPr>
      </w:pPr>
      <w:r w:rsidRPr="00D57DA7">
        <w:rPr>
          <w:b/>
          <w:bCs/>
        </w:rPr>
        <w:tab/>
      </w:r>
      <w:r w:rsidRPr="00D57DA7">
        <w:rPr>
          <w:b/>
          <w:bCs/>
        </w:rPr>
        <w:tab/>
        <w:t xml:space="preserve">Semestr: </w:t>
      </w:r>
      <w:r w:rsidR="005C7A5F" w:rsidRPr="00D57DA7">
        <w:rPr>
          <w:b/>
          <w:bCs/>
        </w:rPr>
        <w:t>V i VI</w:t>
      </w:r>
    </w:p>
    <w:p w14:paraId="2C6CFCC9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  <w:r w:rsidRPr="00D57DA7">
        <w:rPr>
          <w:b/>
          <w:bCs/>
          <w:color w:val="003300"/>
        </w:rPr>
        <w:t xml:space="preserve">      </w:t>
      </w:r>
    </w:p>
    <w:p w14:paraId="6C2A713A" w14:textId="77777777" w:rsidR="004D3A00" w:rsidRPr="00D57DA7" w:rsidRDefault="004D3A00" w:rsidP="004D3A00">
      <w:pPr>
        <w:spacing w:line="360" w:lineRule="auto"/>
        <w:rPr>
          <w:b/>
          <w:bCs/>
          <w:color w:val="003300"/>
        </w:rPr>
      </w:pPr>
    </w:p>
    <w:p w14:paraId="33469F7A" w14:textId="23D3A31F" w:rsidR="004D3A00" w:rsidRPr="00D57DA7" w:rsidRDefault="004D3A00" w:rsidP="004D3A00">
      <w:pPr>
        <w:spacing w:line="360" w:lineRule="auto"/>
        <w:ind w:left="284"/>
        <w:rPr>
          <w:b/>
          <w:bCs/>
          <w:color w:val="003300"/>
        </w:rPr>
      </w:pPr>
      <w:r w:rsidRPr="00D57DA7">
        <w:rPr>
          <w:b/>
          <w:bCs/>
          <w:color w:val="003300"/>
        </w:rPr>
        <w:t xml:space="preserve">8. </w:t>
      </w:r>
      <w:r w:rsidRPr="00D57DA7">
        <w:rPr>
          <w:b/>
          <w:color w:val="003300"/>
        </w:rPr>
        <w:t>Liczba godzin  ogółem :</w:t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</w:r>
      <w:r w:rsidRPr="00D57DA7">
        <w:rPr>
          <w:b/>
          <w:color w:val="003300"/>
        </w:rPr>
        <w:tab/>
        <w:t>liczba pkt. ECTS:</w:t>
      </w:r>
      <w:r w:rsidR="00FA1E0A" w:rsidRPr="00D57DA7">
        <w:rPr>
          <w:b/>
          <w:color w:val="003300"/>
        </w:rPr>
        <w:t xml:space="preserve"> 2</w:t>
      </w:r>
    </w:p>
    <w:p w14:paraId="3760EA41" w14:textId="77777777" w:rsidR="004D3A00" w:rsidRPr="00D57DA7" w:rsidRDefault="004D3A00" w:rsidP="004D3A00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4D3A00" w:rsidRPr="00D57DA7" w14:paraId="26FC1944" w14:textId="77777777" w:rsidTr="00C93D2B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1C079EC6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Jednostki uczestniczące w nauczaniu przedmiotu/modułu</w:t>
            </w:r>
          </w:p>
        </w:tc>
        <w:tc>
          <w:tcPr>
            <w:tcW w:w="3379" w:type="dxa"/>
            <w:gridSpan w:val="4"/>
          </w:tcPr>
          <w:p w14:paraId="6B62DFA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4B2A0B30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4D3A00" w:rsidRPr="00D57DA7" w14:paraId="7A8806D9" w14:textId="77777777" w:rsidTr="00C93D2B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3061FD9A" w14:textId="77777777" w:rsidR="004D3A00" w:rsidRPr="00D57DA7" w:rsidRDefault="004D3A00" w:rsidP="00C93D2B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3A4AC3C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61448F8A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1E438577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F63E207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7DA7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55E2D812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4D3A00" w:rsidRPr="00D57DA7" w14:paraId="1D5CE230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4F7BAAA4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  <w:r w:rsidRPr="00D57DA7">
              <w:rPr>
                <w:lang w:eastAsia="en-US"/>
              </w:rPr>
              <w:t>Studium Języków Obcych</w:t>
            </w:r>
          </w:p>
        </w:tc>
        <w:tc>
          <w:tcPr>
            <w:tcW w:w="815" w:type="dxa"/>
          </w:tcPr>
          <w:p w14:paraId="564E4080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30D500F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  <w:r w:rsidRPr="00D57DA7">
              <w:rPr>
                <w:lang w:eastAsia="en-US"/>
              </w:rPr>
              <w:t>60</w:t>
            </w:r>
          </w:p>
        </w:tc>
        <w:tc>
          <w:tcPr>
            <w:tcW w:w="651" w:type="dxa"/>
          </w:tcPr>
          <w:p w14:paraId="00C515F6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23E82EEC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3725C7CF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F5E113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26C7F910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60AA96DE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B6A9FC0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47F437F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14D223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34022025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3F6F1C8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24A72A96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  <w:p w14:paraId="3C197C68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38C6794C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3128387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6F0A2D1A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471276B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0F5591F7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5097F10D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0074FBE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638B2BED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6D20FF55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25F050B9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666A9133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0CD7284" w14:textId="77777777" w:rsidR="004D3A00" w:rsidRPr="00D57DA7" w:rsidRDefault="004D3A00" w:rsidP="00C93D2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4AF1E39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D275C9B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A186F5D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56752072" w14:textId="77777777" w:rsidR="004D3A00" w:rsidRPr="00D57DA7" w:rsidRDefault="004D3A00" w:rsidP="00C93D2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D3A00" w:rsidRPr="00D57DA7" w14:paraId="7980599B" w14:textId="77777777" w:rsidTr="00C93D2B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1513EED" w14:textId="77777777" w:rsidR="004D3A00" w:rsidRPr="00D57DA7" w:rsidRDefault="004D3A00" w:rsidP="00C93D2B">
            <w:pPr>
              <w:spacing w:line="276" w:lineRule="auto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44E7C511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14:paraId="0A7FF525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 w:rsidRPr="00D57DA7">
              <w:rPr>
                <w:b/>
                <w:color w:val="0000FF"/>
                <w:lang w:eastAsia="en-US"/>
              </w:rPr>
              <w:t>60</w:t>
            </w:r>
          </w:p>
        </w:tc>
        <w:tc>
          <w:tcPr>
            <w:tcW w:w="651" w:type="dxa"/>
          </w:tcPr>
          <w:p w14:paraId="69EC495B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14:paraId="28C71BC0" w14:textId="77777777" w:rsidR="004D3A00" w:rsidRPr="00D57DA7" w:rsidRDefault="004D3A00" w:rsidP="00C93D2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4BFA8CBD" w14:textId="77777777" w:rsidR="004D3A00" w:rsidRPr="00D57DA7" w:rsidRDefault="004D3A00" w:rsidP="004D3A00">
      <w:pPr>
        <w:jc w:val="both"/>
        <w:rPr>
          <w:b/>
          <w:bCs/>
        </w:rPr>
      </w:pPr>
    </w:p>
    <w:p w14:paraId="65F60B32" w14:textId="77777777" w:rsidR="004D3A00" w:rsidRPr="00D57DA7" w:rsidRDefault="004D3A00" w:rsidP="004D3A00">
      <w:pPr>
        <w:jc w:val="both"/>
        <w:rPr>
          <w:color w:val="FF0000"/>
        </w:rPr>
      </w:pPr>
    </w:p>
    <w:p w14:paraId="2B186385" w14:textId="77777777" w:rsidR="004D3A00" w:rsidRPr="00D57DA7" w:rsidRDefault="004D3A00" w:rsidP="004D3A00">
      <w:pPr>
        <w:autoSpaceDE w:val="0"/>
        <w:rPr>
          <w:sz w:val="32"/>
          <w:szCs w:val="32"/>
        </w:rPr>
      </w:pPr>
      <w:r w:rsidRPr="00D57DA7">
        <w:rPr>
          <w:b/>
          <w:color w:val="003300"/>
        </w:rPr>
        <w:t xml:space="preserve">      9. SYLABUS</w:t>
      </w:r>
      <w:r w:rsidRPr="00D57DA7">
        <w:rPr>
          <w:b/>
          <w:sz w:val="32"/>
          <w:szCs w:val="32"/>
        </w:rPr>
        <w:t xml:space="preserve"> </w:t>
      </w:r>
      <w:r w:rsidRPr="00D57DA7">
        <w:rPr>
          <w:b/>
          <w:sz w:val="20"/>
          <w:szCs w:val="20"/>
        </w:rPr>
        <w:t xml:space="preserve">( </w:t>
      </w:r>
      <w:r w:rsidRPr="00D57DA7">
        <w:rPr>
          <w:sz w:val="20"/>
          <w:szCs w:val="20"/>
        </w:rPr>
        <w:t>proszę wypełnić wszystkie pola w tabeli)</w:t>
      </w:r>
    </w:p>
    <w:p w14:paraId="61AE9D70" w14:textId="77777777" w:rsidR="004D3A00" w:rsidRPr="00D57DA7" w:rsidRDefault="004D3A00" w:rsidP="004D3A00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4D3A00" w:rsidRPr="00D57DA7" w14:paraId="412CF94F" w14:textId="77777777" w:rsidTr="00C93D2B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2DAAD67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57DA7"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1A3B087C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D57DA7"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13C23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Język angielski</w:t>
            </w:r>
          </w:p>
        </w:tc>
      </w:tr>
      <w:tr w:rsidR="004D3A00" w:rsidRPr="00D57DA7" w14:paraId="457B0D55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565296E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44F36A14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49396AB1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ED195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Wydział Lekarski II</w:t>
            </w:r>
          </w:p>
        </w:tc>
      </w:tr>
      <w:tr w:rsidR="004D3A00" w:rsidRPr="00D57DA7" w14:paraId="60CD7D8A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BB454E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5E897E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Lekarski</w:t>
            </w:r>
          </w:p>
        </w:tc>
      </w:tr>
      <w:tr w:rsidR="004D3A00" w:rsidRPr="00D57DA7" w14:paraId="1CD98E5B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55FE0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FE7BA0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Jednolite studia magisterskie</w:t>
            </w:r>
          </w:p>
        </w:tc>
      </w:tr>
      <w:tr w:rsidR="004D3A00" w:rsidRPr="00D57DA7" w14:paraId="0D2228D3" w14:textId="77777777" w:rsidTr="00C93D2B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36FBD1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15677B10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lastRenderedPageBreak/>
              <w:t>Forma studiów</w:t>
            </w:r>
          </w:p>
          <w:p w14:paraId="3DE8CB23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5CBA4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lastRenderedPageBreak/>
              <w:t>dzienne</w:t>
            </w:r>
          </w:p>
        </w:tc>
      </w:tr>
      <w:tr w:rsidR="004D3A00" w:rsidRPr="00D57DA7" w14:paraId="25D41D4A" w14:textId="77777777" w:rsidTr="00C93D2B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84DCBF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lastRenderedPageBreak/>
              <w:t>Język przedmiotu/</w:t>
            </w:r>
          </w:p>
          <w:p w14:paraId="6E15912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DA808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Polski / angielski</w:t>
            </w:r>
          </w:p>
        </w:tc>
      </w:tr>
      <w:tr w:rsidR="004D3A00" w:rsidRPr="00D57DA7" w14:paraId="5569A449" w14:textId="77777777" w:rsidTr="00C93D2B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5746650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Rodzaj przedmiotu/</w:t>
            </w:r>
          </w:p>
          <w:p w14:paraId="6D86015F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EF9272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29D1FFD9" w14:textId="77777777" w:rsidR="004D3A00" w:rsidRPr="00D57DA7" w:rsidRDefault="004D3A00" w:rsidP="00C93D2B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obowiązkowy</w:t>
            </w:r>
            <w:r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Pr="00D57DA7">
              <w:rPr>
                <w:sz w:val="20"/>
                <w:szCs w:val="20"/>
                <w:lang w:eastAsia="en-US"/>
              </w:rPr>
              <w:t></w:t>
            </w:r>
          </w:p>
          <w:p w14:paraId="7850F8E7" w14:textId="77777777" w:rsidR="004D3A00" w:rsidRPr="00D57DA7" w:rsidRDefault="004D3A00" w:rsidP="00C93D2B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4D3A00" w:rsidRPr="00D57DA7" w14:paraId="2C0B308F" w14:textId="77777777" w:rsidTr="00C93D2B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0D073CA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67F6DC1B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66DBD8" w14:textId="77777777" w:rsidR="004D3A00" w:rsidRPr="00D57DA7" w:rsidRDefault="004D3A00" w:rsidP="00C93D2B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790C8D63" w14:textId="523236AF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shd w:val="clear" w:color="auto" w:fill="00000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 xml:space="preserve">I </w:t>
            </w:r>
            <w:r w:rsidRPr="00D57DA7">
              <w:rPr>
                <w:sz w:val="20"/>
                <w:szCs w:val="20"/>
                <w:lang w:eastAsia="en-US"/>
              </w:rPr>
              <w:t xml:space="preserve">   II </w:t>
            </w:r>
            <w:r w:rsidRPr="00D57DA7">
              <w:rPr>
                <w:sz w:val="20"/>
                <w:szCs w:val="20"/>
                <w:lang w:eastAsia="en-US"/>
              </w:rPr>
              <w:t xml:space="preserve">   III </w:t>
            </w:r>
            <w:r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IV </w:t>
            </w:r>
            <w:r w:rsidRPr="00D57DA7">
              <w:rPr>
                <w:sz w:val="20"/>
                <w:szCs w:val="20"/>
                <w:lang w:eastAsia="en-US"/>
              </w:rPr>
              <w:t xml:space="preserve">   V </w:t>
            </w:r>
            <w:r w:rsidRPr="00D57DA7">
              <w:rPr>
                <w:sz w:val="20"/>
                <w:szCs w:val="20"/>
                <w:lang w:eastAsia="en-US"/>
              </w:rPr>
              <w:t xml:space="preserve"> VI </w:t>
            </w:r>
            <w:r w:rsidRPr="00D57DA7">
              <w:rPr>
                <w:sz w:val="20"/>
                <w:szCs w:val="20"/>
                <w:lang w:eastAsia="en-US"/>
              </w:rPr>
              <w:t xml:space="preserve">  </w:t>
            </w:r>
          </w:p>
          <w:p w14:paraId="7198F756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59F7F" w14:textId="77777777" w:rsidR="004D3A00" w:rsidRPr="00D57DA7" w:rsidRDefault="004D3A00" w:rsidP="00C93D2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3D48B5A" w14:textId="4F0EEE3A" w:rsidR="004D3A00" w:rsidRPr="00D57DA7" w:rsidRDefault="004D3A00" w:rsidP="00C93D2B">
            <w:pPr>
              <w:spacing w:line="254" w:lineRule="auto"/>
              <w:rPr>
                <w:sz w:val="20"/>
                <w:szCs w:val="20"/>
                <w:shd w:val="clear" w:color="auto" w:fill="00000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 xml:space="preserve">1 </w:t>
            </w:r>
            <w:r w:rsidRPr="00D57DA7">
              <w:rPr>
                <w:sz w:val="20"/>
                <w:szCs w:val="20"/>
                <w:lang w:eastAsia="en-US"/>
              </w:rPr>
              <w:t xml:space="preserve">   2 </w:t>
            </w:r>
            <w:r w:rsidRPr="00D57DA7">
              <w:rPr>
                <w:sz w:val="20"/>
                <w:szCs w:val="20"/>
                <w:lang w:eastAsia="en-US"/>
              </w:rPr>
              <w:t xml:space="preserve">   3 </w:t>
            </w:r>
            <w:r w:rsidRPr="00D57DA7">
              <w:rPr>
                <w:sz w:val="20"/>
                <w:szCs w:val="20"/>
                <w:lang w:eastAsia="en-US"/>
              </w:rPr>
              <w:t xml:space="preserve">   4 </w:t>
            </w:r>
            <w:r w:rsidRPr="00D57DA7">
              <w:rPr>
                <w:sz w:val="20"/>
                <w:szCs w:val="20"/>
                <w:lang w:eastAsia="en-US"/>
              </w:rPr>
              <w:t xml:space="preserve">   5 </w:t>
            </w:r>
            <w:r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6 </w:t>
            </w:r>
            <w:r w:rsidRPr="00D57DA7">
              <w:rPr>
                <w:sz w:val="20"/>
                <w:szCs w:val="20"/>
              </w:rPr>
              <w:sym w:font="Wingdings 2" w:char="F053"/>
            </w:r>
            <w:r w:rsidRPr="00D57DA7">
              <w:rPr>
                <w:sz w:val="20"/>
                <w:szCs w:val="20"/>
                <w:lang w:eastAsia="en-US"/>
              </w:rPr>
              <w:t xml:space="preserve">   7 </w:t>
            </w:r>
            <w:r w:rsidRPr="00D57DA7">
              <w:rPr>
                <w:sz w:val="20"/>
                <w:szCs w:val="20"/>
                <w:lang w:eastAsia="en-US"/>
              </w:rPr>
              <w:t xml:space="preserve">   8 </w:t>
            </w:r>
            <w:r w:rsidRPr="00D57DA7">
              <w:rPr>
                <w:sz w:val="20"/>
                <w:szCs w:val="20"/>
                <w:lang w:eastAsia="en-US"/>
              </w:rPr>
              <w:t xml:space="preserve">   9 </w:t>
            </w:r>
            <w:r w:rsidRPr="00D57DA7">
              <w:rPr>
                <w:sz w:val="20"/>
                <w:szCs w:val="20"/>
                <w:lang w:eastAsia="en-US"/>
              </w:rPr>
              <w:t xml:space="preserve">   10 </w:t>
            </w:r>
            <w:r w:rsidRPr="00D57DA7">
              <w:rPr>
                <w:sz w:val="20"/>
                <w:szCs w:val="20"/>
                <w:lang w:eastAsia="en-US"/>
              </w:rPr>
              <w:t xml:space="preserve">   11 </w:t>
            </w:r>
            <w:r w:rsidRPr="00D57DA7">
              <w:rPr>
                <w:sz w:val="20"/>
                <w:szCs w:val="20"/>
                <w:lang w:eastAsia="en-US"/>
              </w:rPr>
              <w:t xml:space="preserve">   12 </w:t>
            </w:r>
            <w:r w:rsidRPr="00D57DA7">
              <w:rPr>
                <w:sz w:val="20"/>
                <w:szCs w:val="20"/>
                <w:lang w:eastAsia="en-US"/>
              </w:rPr>
              <w:t></w:t>
            </w:r>
          </w:p>
          <w:p w14:paraId="7BF2C8B8" w14:textId="77777777" w:rsidR="004D3A00" w:rsidRPr="00D57DA7" w:rsidRDefault="004D3A00" w:rsidP="00C93D2B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Pr="00D57DA7" w:rsidRDefault="0013702D" w:rsidP="00E846C5"/>
    <w:tbl>
      <w:tblPr>
        <w:tblW w:w="102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409"/>
        <w:gridCol w:w="6667"/>
        <w:gridCol w:w="2184"/>
      </w:tblGrid>
      <w:tr w:rsidR="00E104FF" w:rsidRPr="00D57DA7" w14:paraId="4CC9391F" w14:textId="77777777" w:rsidTr="00C93D2B"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C93FB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Symbol</w:t>
            </w:r>
          </w:p>
          <w:p w14:paraId="2C05CA9E" w14:textId="77777777" w:rsidR="00E104FF" w:rsidRPr="00D57DA7" w:rsidRDefault="00E104FF" w:rsidP="00C93D2B">
            <w:pPr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efektów kształcenia</w:t>
            </w:r>
          </w:p>
          <w:p w14:paraId="753ADF58" w14:textId="77777777" w:rsidR="00E104FF" w:rsidRPr="00D57DA7" w:rsidRDefault="00E104FF" w:rsidP="00C93D2B">
            <w:pPr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zgodnie ze standardami</w:t>
            </w:r>
          </w:p>
        </w:tc>
        <w:tc>
          <w:tcPr>
            <w:tcW w:w="6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972BE7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OPIS KIERUNKOWYCH EFEKTÓW KSZTAŁCENIA</w:t>
            </w:r>
          </w:p>
          <w:p w14:paraId="387C1D5A" w14:textId="77777777" w:rsidR="00E104FF" w:rsidRPr="00D57DA7" w:rsidRDefault="00E104FF" w:rsidP="00C93D2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7ED6D9" w14:textId="77777777" w:rsidR="00E104FF" w:rsidRPr="00D57DA7" w:rsidRDefault="00E104FF" w:rsidP="00C93D2B">
            <w:pPr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 xml:space="preserve">Metody weryfikacji osiągnięcia zamierzonych efektów kształcenia: </w:t>
            </w:r>
          </w:p>
          <w:p w14:paraId="7904EB71" w14:textId="77777777" w:rsidR="00E104FF" w:rsidRPr="00D57DA7" w:rsidRDefault="00E104FF" w:rsidP="00C93D2B">
            <w:pPr>
              <w:rPr>
                <w:color w:val="0070C0"/>
                <w:sz w:val="20"/>
                <w:szCs w:val="20"/>
              </w:rPr>
            </w:pPr>
          </w:p>
        </w:tc>
      </w:tr>
      <w:tr w:rsidR="00E104FF" w:rsidRPr="00D57DA7" w14:paraId="05E86AF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EA149D4" w14:textId="77777777" w:rsidR="00E104FF" w:rsidRPr="00D57DA7" w:rsidRDefault="00E104FF" w:rsidP="00C93D2B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A359C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WIEDZA (ZGODNIE ZE SZCZEGÓŁOWYMI EFEKTAMI 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79B9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24EC84D0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05D26E1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C.W25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A95DB4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nazewnictwo patomorfologiczne.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C7CA5AD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studenta, powtórki i testy. Weryfikacja prezentacji przygotowanej przez studenta.</w:t>
            </w:r>
          </w:p>
        </w:tc>
      </w:tr>
      <w:tr w:rsidR="00E104FF" w:rsidRPr="00D57DA7" w14:paraId="3CE2D9D6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0AFE46D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C.W27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ADA4E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Określa przebieg kliniczny zapaleń swoistych i nieswoistych oraz opisuje procesy regeneracji tkanek i narządów.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4F5985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FB14962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5CBCD78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C.W30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964F8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zagadnienia z zakresu szczegółowej patologii narządowej, obrazy makro- i mikroskopowe oraz przebieg kliniczny zmian patomorfologicznych w poszczególnych narządach.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F76E80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8666D2B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F592EC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59EE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Opisuje konsekwencje rozwijających się zmian patologicznych dla sąsiadujących topograficznie narządów.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48EE15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7220D85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C76B974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55EC5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Wymienia czynniki chorobotwórcze zewnętrzne i wewnętrzne, modyfikowalne i niemodyfikowalne.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019E49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40B9B3A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06D673B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E19F3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Wymienia postacie kliniczne najczęstszych chorób poszczególnych układów i narządów, chorób metabolicznych oraz zaburzeń gospodarki wodno-elektrolitowej i kwasowo-zasadowej.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DD65F1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697664A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C4EC2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8F796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Charakteryzuje poszczególne grupy środków leczniczych.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F316FB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071F83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93C2889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C.W35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C8CB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główne mechanizmy działania leków oraz ich przemiany w ustroju zależne od wieku.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782CFF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439B4B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F4D72D5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C.W38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3B4F71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ważniejsze działania niepożądane leków, w tym wynikające z ich interakcji.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63517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6512A09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4D608C6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B744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zasady motywowania pacjentów do prozdrowotnych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 i informowania o niepomyślnym rokowa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softHyphen/>
              <w:t>niu.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24904F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11734EC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02C68A18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D.W15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C60A3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zasady pracy w grupie.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103FD4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862D574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256362C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D.W16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91A2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Rozumie kulturowe, etniczne i narodowe uwarunkowania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 ludzkich.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B1D917A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C0BE95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2A39EC7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F17C0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uwarunkowania środowiskowe i epidemiologiczne najczęstszych chorób.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00F0A53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8C5B927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004A57A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CE322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rozróżnia podstawowe zespoły objawów neurologicznych.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9B2507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943143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45CD16E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E.W14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B2EA5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rozumie przyczyny, objawy, zasady diagnozowania i postępowania terapeutycznego w najczęstszych choro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softHyphen/>
              <w:t>bach układu nerwowego.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E9946EF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23634B9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D6C6B0F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E.W23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404CE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uwarunkowania środowiskowe i epidemiologiczne najczęstszych nowotworów człowieka.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9490AF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E41EF8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4914DE9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E.W29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6C00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zasady leczenia bólu, w tym bólu nowotworowego i przewlekłego.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E1CB53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8D8242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28E75EA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E.W32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E7FA0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pneumokokowych</w:t>
            </w:r>
            <w:proofErr w:type="spellEnd"/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, wirusowym zapaleniu wątroby, nabytym niedoborze odporności AIDS, sepsie i zakażeniach szpitalnych.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83137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2A54C1F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6CAFE42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E.W33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9137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podstawowe cechy, uwarunkowania środowiskowe i epidemiologiczne najczęstszych chorób skóry człowieka.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BCFF9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D417F0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A66110F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E.W36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A95773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 xml:space="preserve">Zna i rozumie przyczyny, objawy, zasady diagnozowania i postępowania </w:t>
            </w:r>
            <w:r w:rsidRPr="00D57D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terapeutycznego w najczęstszych chorobach i specyficznych problemach w praktyce lekarza rodzinnego.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38C98F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378E8D8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A7297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lastRenderedPageBreak/>
              <w:t>E.W38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F1E9D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podstawy teoretyczne i praktyczne diagnostyki laboratoryjnej.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576391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AA7FBAB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08976D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F.W1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1F8AA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i rozumie przyczyny, objawy, zasady diagnozowania oraz postępowania terapeutycznego w odniesieniu do najczęstszych chorób wymagających interwencji chirurgicznej, z uwzględnieniem odrębności wieku dziecięcego.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CD7F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73CAFD0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96EB79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53DD3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zasady bezpieczeństwa okołooperacyjnego, przygotowania pacjenta do operacji, wykonania znieczulenia ogólnego i miejscowego oraz kontrolowanej sedacji.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A17CC7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AC83843" w14:textId="77777777" w:rsidTr="00C93D2B"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E31B06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F.W10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84FC9" w14:textId="77777777" w:rsidR="00E104FF" w:rsidRPr="00D57DA7" w:rsidRDefault="00E104FF" w:rsidP="00C93D2B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7DA7">
              <w:rPr>
                <w:rFonts w:ascii="Times New Roman" w:hAnsi="Times New Roman" w:cs="Times New Roman"/>
                <w:sz w:val="20"/>
                <w:szCs w:val="20"/>
              </w:rPr>
              <w:t>Zna problematykę współcześnie wykorzystywanych badań obrazowych.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8297DB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65CDDD2" w14:textId="77777777" w:rsidTr="00C93D2B">
        <w:trPr>
          <w:trHeight w:val="137"/>
        </w:trPr>
        <w:tc>
          <w:tcPr>
            <w:tcW w:w="14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E2332F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G.W4</w:t>
            </w:r>
          </w:p>
        </w:tc>
        <w:tc>
          <w:tcPr>
            <w:tcW w:w="66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69648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Zna pojęcie zdrowia publicznego, jego cele, zadania, a także strukturę i organizację systemu ochrony zdrowia na poziomie krajowym i globalnym oraz wpływ uwarunkowań ekonomicznych na możliwości ochrony zdrowia.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0014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F547C1C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3B6BEDE" w14:textId="77777777" w:rsidR="00E104FF" w:rsidRPr="00D57DA7" w:rsidRDefault="00E104FF" w:rsidP="00C93D2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534F8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>UMIEJĘTNOŚCI (ZGODNIE ZE SZCZEGÓŁOWYMI EFEKTAMI 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8E04A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014DCCF5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72A466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B.U11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B4CDC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Korzysta z baz danych, w tym internetowych, i wyszukuje potrzebną informację za pomocą dostępnych narzędzi.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720684C" w14:textId="77777777" w:rsidR="00E104FF" w:rsidRPr="00D57DA7" w:rsidRDefault="00E104FF" w:rsidP="00C93D2B">
            <w:p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studenta, powtórki i testy. Weryfikacja prezentacji przygotowanej przez studenta.</w:t>
            </w:r>
          </w:p>
        </w:tc>
      </w:tr>
      <w:tr w:rsidR="00E104FF" w:rsidRPr="00D57DA7" w14:paraId="4116EE8C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0BC7FF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85D99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Uwzględnia w procesie postępowania terapeutycznego subiektywne potrzeby i oczekiwania pacjenta wynikające z uwarunkowań społeczno-kulturowych.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FA017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501403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CA533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837F5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Buduje atmosferę zaufania podczas całego procesu leczenia.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B781F4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C108C5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C0937E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25C0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rozmowę z pacjentem dorosłym, dzieckiem i rodziną z zastosowaniem techniki aktywnego słucha</w:t>
            </w:r>
            <w:r w:rsidRPr="00D57DA7">
              <w:rPr>
                <w:sz w:val="20"/>
                <w:szCs w:val="20"/>
              </w:rPr>
              <w:softHyphen/>
              <w:t>nia i wyrażania empatii, a także rozmawia z pacjentem o jego sytuacji życiowej.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D82555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29FED84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E41BF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1245A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Informuje pacjenta o celu, przebiegu i ewentualnym ryzyku proponowanych działań diagnostycznych lub tera</w:t>
            </w:r>
            <w:r w:rsidRPr="00D57DA7">
              <w:rPr>
                <w:sz w:val="20"/>
                <w:szCs w:val="20"/>
              </w:rPr>
              <w:softHyphen/>
              <w:t>peutycznych i uzyskuje jego świadomą zgodę.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7AC59D2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A8D39E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0BC19E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A5AE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Przekazuje pacjentowi i jego rodzinie informacje o niekorzystnym rokowaniu.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8BF362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6CB408E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6F3348D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3D2B2" w14:textId="77777777" w:rsidR="00E104FF" w:rsidRPr="00D57DA7" w:rsidRDefault="00E104FF" w:rsidP="00C93D2B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Udziela porady w kwestii przestrzegania zaleceń terapeutycznych i prozdrowotnego trybu życia.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E26EFD4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2EB1CEB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E78455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874C5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Komunikuje się ze współpracownikami zespołu, udzielając konstruktywnej informacji zwrotnej i wsparcia.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A74677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76D602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653384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430FF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Wykazuje odpowiedzialność za podnoszenie swoich kwalifikacji i przekazywanie wiedzy innym. 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F8A20B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62466B6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0DAD8E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7D2B7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Rozpoznaje własne ograniczenia, dokonuje samooceny deficytów i potrzeb edukacyjnych, planuje własną aktyw</w:t>
            </w:r>
            <w:r w:rsidRPr="00D57DA7">
              <w:rPr>
                <w:sz w:val="20"/>
                <w:szCs w:val="20"/>
              </w:rPr>
              <w:softHyphen/>
              <w:t>ność edukacyjną.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EB7DD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17E3B0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933C4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BBB1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Krytycznie analizuje piśmiennictwo medyczne, w tym w języku obcym, oraz wyciąga wnioski w oparciu o dostępną literaturę.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C6538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5CB132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AB5A1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D.U18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C7A2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Porozumiewa się z pacjentem w jednym z języków obcych.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D60002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5993D8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AAADBD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0C00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wywiad lekarski z pacjentem dorosłym.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8941FEA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CC4DFFA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2D9747A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63468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wywiad lekarski z dzieckiem i jego rodziną.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5252338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B9EB78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D16259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6B2CC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pełne i ukierunkowane badanie fizykalne pacjenta dorosłego.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9F5F401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F82565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2F3CF3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0957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badanie fizykalne dziecka w każdym wieku.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53E4E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70F811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6379703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A8F92C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Przeprowadza diagnostykę różnicową najczęstszych chorób osób dorosłych i dzieci.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66BF7D6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FA970A1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8D9347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BE87AF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Ocenia i opisuje stan somatyczny i psychiczny pacjenta.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B67FED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58F5EDA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528C22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E.U16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D6BE4E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Planuje postępowanie diagnostyczne, terapeutyczne i profilaktyczne.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04F9AE5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4EDF68F8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DABDF4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E.U20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2D54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Kwalifikuje pacjenta do leczenia domowego i szpitalnego.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2DC0CB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1404CAF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BCAD24D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2CD8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Proponuje program rehabilitacji w najczęstszych chorobach.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3C2BFAE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D9E44E5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ACA7A3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F6300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Interpretuje badania laboratoryjne i identyfikuje przyczyny odchyleń.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D45E63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6DA3986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BC5C867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5EEA2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Stosuje leczenie żywieniowe (z uwzględnieniem żywienia dojelitowego i pozajelitowego).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1C0A72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71F526F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CDD8AF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E.U27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82168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Kwalifikuje pacjenta do szczepień.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0967550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71CB995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AA340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AEA39" w14:textId="77777777" w:rsidR="00E104FF" w:rsidRPr="00D57DA7" w:rsidRDefault="00E104FF" w:rsidP="00C93D2B">
            <w:pPr>
              <w:spacing w:line="288" w:lineRule="auto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Interpretuje charakterystyki farmaceutyczne produktów leczniczych oraz krytycznie ocenia materiały reklamowe dotyczące leków. 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D188C4F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0F03D75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AC6E5B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6829B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Planuje konsultacje specjalistyczne.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6AD3CD8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10BED6CD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16969F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E.U38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131380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Prowadzi dokumentację medyczną pacjenta.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E00F7C" w14:textId="77777777" w:rsidR="00E104FF" w:rsidRPr="00D57DA7" w:rsidRDefault="00E104FF" w:rsidP="00C93D2B">
            <w:pPr>
              <w:rPr>
                <w:sz w:val="20"/>
                <w:szCs w:val="20"/>
              </w:rPr>
            </w:pPr>
          </w:p>
        </w:tc>
      </w:tr>
      <w:tr w:rsidR="00E104FF" w:rsidRPr="00D57DA7" w14:paraId="39F08B69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43264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0474A" w14:textId="77777777" w:rsidR="00E104FF" w:rsidRPr="00D57DA7" w:rsidRDefault="00E104FF" w:rsidP="00C93D2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57DA7">
              <w:rPr>
                <w:b/>
                <w:sz w:val="20"/>
                <w:szCs w:val="20"/>
              </w:rPr>
              <w:t xml:space="preserve">KOMPETENCJE SPOŁECZNE (ZGODNIE Z OGÓLNYMI EFEKTAMI </w:t>
            </w:r>
            <w:r w:rsidRPr="00D57DA7">
              <w:rPr>
                <w:b/>
                <w:sz w:val="20"/>
                <w:szCs w:val="20"/>
              </w:rPr>
              <w:lastRenderedPageBreak/>
              <w:t>KSZTAŁCENIA)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5B9F06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73E4821B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C211A0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lastRenderedPageBreak/>
              <w:t>EK (KS)1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F708D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Posiada ogólną znajomość podstawowych zasad  interpersonalnej komunikacji werbalnej i niewerbalnej oraz postrzegania społecznego (komunikacja a pacjenci z różnych grup społecznych, wyznaniowych, etnicznych i stanowiące mniejszości społeczne).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8BDC969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Weryfikacja wyników przygotowanych do samodzielnego przygotowania, rozumienie, wypowiadanie oraz konwersacja. Obserwacja pracy studenta.</w:t>
            </w:r>
          </w:p>
        </w:tc>
      </w:tr>
      <w:tr w:rsidR="00E104FF" w:rsidRPr="00D57DA7" w14:paraId="7F125BD7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0603228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EK (KS) 2</w:t>
            </w:r>
          </w:p>
          <w:p w14:paraId="2570F52F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7ADEF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Posiada umiejętność językowego ‘odnalezienia się’ w określonym kontekście społecznym (przeprowadzanie rozmów telefonicznych, zabieranie głosu w dyskusji, negocjowanie, wystąpienia publiczne).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9C7BFB4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  <w:tr w:rsidR="00E104FF" w:rsidRPr="00D57DA7" w14:paraId="0FE03F12" w14:textId="77777777" w:rsidTr="00C93D2B">
        <w:tc>
          <w:tcPr>
            <w:tcW w:w="1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E5A4641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EK (KS) 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463541" w14:textId="77777777" w:rsidR="00E104FF" w:rsidRPr="00D57DA7" w:rsidRDefault="00E104FF" w:rsidP="00C93D2B">
            <w:pPr>
              <w:snapToGrid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Potrafi formułować podstawowe wypowiedzi pisemne do środowisk opiniotwórczych, mediów oraz pracowników placówki (sprawozdania, komunikat prasowy, odpowiedzi na skargi i zażalenia).</w:t>
            </w:r>
          </w:p>
        </w:tc>
        <w:tc>
          <w:tcPr>
            <w:tcW w:w="218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5F260" w14:textId="77777777" w:rsidR="00E104FF" w:rsidRPr="00D57DA7" w:rsidRDefault="00E104FF" w:rsidP="00C93D2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E0E61B8" w14:textId="77777777" w:rsidR="0013702D" w:rsidRPr="00D57DA7" w:rsidRDefault="0013702D" w:rsidP="00E846C5">
      <w:pPr>
        <w:autoSpaceDE w:val="0"/>
      </w:pPr>
    </w:p>
    <w:p w14:paraId="38C7BE37" w14:textId="77777777" w:rsidR="007A6A1E" w:rsidRPr="00D57DA7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RPr="00D57DA7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Pr="00D57DA7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D57DA7"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28E04220" w:rsidR="0013702D" w:rsidRPr="00D57DA7" w:rsidRDefault="00E104F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616E12E0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Pr="00D57DA7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D57DA7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D57DA7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10. </w:t>
      </w:r>
      <w:r w:rsidR="00BE4DDF" w:rsidRPr="00D57DA7">
        <w:rPr>
          <w:b/>
          <w:color w:val="000000" w:themeColor="text1"/>
        </w:rPr>
        <w:t xml:space="preserve">WPROWADZENIE DO </w:t>
      </w:r>
      <w:r w:rsidR="00BF21E3" w:rsidRPr="00D57DA7">
        <w:rPr>
          <w:b/>
          <w:color w:val="000000" w:themeColor="text1"/>
        </w:rPr>
        <w:t>PRZEDMIOTU/</w:t>
      </w:r>
      <w:r w:rsidR="00BE4DDF" w:rsidRPr="00D57DA7">
        <w:rPr>
          <w:b/>
          <w:color w:val="000000" w:themeColor="text1"/>
        </w:rPr>
        <w:t>MODUŁU</w:t>
      </w:r>
      <w:r w:rsidRPr="00D57DA7">
        <w:rPr>
          <w:b/>
          <w:color w:val="000000" w:themeColor="text1"/>
        </w:rPr>
        <w:t xml:space="preserve"> </w:t>
      </w:r>
      <w:r w:rsidR="00BE4DDF" w:rsidRPr="00D57DA7">
        <w:rPr>
          <w:b/>
          <w:color w:val="000000" w:themeColor="text1"/>
        </w:rPr>
        <w:t>(przygotowuje koordynator</w:t>
      </w:r>
      <w:r w:rsidR="00BF21E3" w:rsidRPr="00D57DA7">
        <w:rPr>
          <w:b/>
          <w:color w:val="000000" w:themeColor="text1"/>
        </w:rPr>
        <w:t xml:space="preserve"> </w:t>
      </w:r>
      <w:r w:rsidR="00BF21E3" w:rsidRPr="00D57DA7">
        <w:rPr>
          <w:b/>
          <w:color w:val="000000" w:themeColor="text1"/>
        </w:rPr>
        <w:br/>
        <w:t xml:space="preserve">    modułu</w:t>
      </w:r>
      <w:r w:rsidR="004C774E" w:rsidRPr="00D57DA7">
        <w:rPr>
          <w:b/>
          <w:color w:val="000000" w:themeColor="text1"/>
        </w:rPr>
        <w:t>)</w:t>
      </w:r>
    </w:p>
    <w:p w14:paraId="000085ED" w14:textId="77777777" w:rsidR="004C774E" w:rsidRPr="00D57DA7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RPr="00D57DA7" w14:paraId="58EDB71F" w14:textId="77777777" w:rsidTr="00D37C1F">
        <w:tc>
          <w:tcPr>
            <w:tcW w:w="9140" w:type="dxa"/>
          </w:tcPr>
          <w:p w14:paraId="2F1E9696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383C8E4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Pr="00D57DA7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Pr="00D57DA7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D57DA7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D57DA7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</w:t>
      </w:r>
      <w:r w:rsidR="00D37C1F" w:rsidRPr="00D57DA7">
        <w:rPr>
          <w:b/>
          <w:color w:val="000000" w:themeColor="text1"/>
        </w:rPr>
        <w:t xml:space="preserve">11. </w:t>
      </w:r>
      <w:r w:rsidR="00BE4DDF" w:rsidRPr="00D57DA7">
        <w:rPr>
          <w:b/>
          <w:color w:val="000000" w:themeColor="text1"/>
        </w:rPr>
        <w:t>TREŚCI MERYTORYCZNE MODUŁU</w:t>
      </w:r>
      <w:r w:rsidR="00D37C1F" w:rsidRPr="00D57DA7">
        <w:rPr>
          <w:b/>
          <w:color w:val="000000" w:themeColor="text1"/>
        </w:rPr>
        <w:t xml:space="preserve"> (</w:t>
      </w:r>
      <w:r w:rsidR="00BE4DDF" w:rsidRPr="00D57DA7">
        <w:rPr>
          <w:b/>
          <w:color w:val="000000" w:themeColor="text1"/>
          <w:sz w:val="22"/>
          <w:szCs w:val="22"/>
        </w:rPr>
        <w:t>z podziałem na bloki modułu</w:t>
      </w:r>
      <w:r w:rsidR="00D37C1F" w:rsidRPr="00D57DA7">
        <w:rPr>
          <w:b/>
          <w:color w:val="000000" w:themeColor="text1"/>
          <w:sz w:val="22"/>
          <w:szCs w:val="22"/>
        </w:rPr>
        <w:t xml:space="preserve">, przygotowuje </w:t>
      </w:r>
      <w:r w:rsidRPr="00D57DA7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57DA7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D57DA7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D57DA7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Pr="00D57DA7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RPr="00D57DA7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08600796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304335F9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287DAC" w:rsidRPr="00D57DA7">
              <w:rPr>
                <w:b/>
                <w:color w:val="000000" w:themeColor="text1"/>
                <w:lang w:eastAsia="en-US"/>
              </w:rPr>
              <w:t>I</w:t>
            </w:r>
          </w:p>
          <w:p w14:paraId="28E37BDC" w14:textId="77777777" w:rsidR="00BF21E3" w:rsidRPr="00D57DA7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77777777" w:rsidR="00950530" w:rsidRPr="00D57DA7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Pr="00D57DA7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</w:t>
            </w:r>
            <w:r w:rsidR="00950530" w:rsidRPr="00D57DA7">
              <w:rPr>
                <w:b/>
                <w:color w:val="000000" w:themeColor="text1"/>
                <w:lang w:eastAsia="en-US"/>
              </w:rPr>
              <w:t>y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 w:rsidRPr="00D57DA7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D57DA7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197EC7AB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1. </w:t>
            </w:r>
          </w:p>
          <w:p w14:paraId="344D1D7A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511AB171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</w:t>
            </w:r>
            <w:r w:rsidR="000948CE" w:rsidRPr="00D57DA7">
              <w:rPr>
                <w:b/>
                <w:color w:val="000000" w:themeColor="text1"/>
                <w:lang w:eastAsia="en-US"/>
              </w:rPr>
              <w:t xml:space="preserve"> (1 – 4)</w:t>
            </w:r>
          </w:p>
          <w:p w14:paraId="4FFD57E3" w14:textId="20E79A20" w:rsidR="00950530" w:rsidRPr="00D57DA7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0FBD708F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Budowa, funkcje i choroby skóry oraz układu moczowego</w:t>
            </w:r>
          </w:p>
          <w:p w14:paraId="7193C739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Przeprowadzanie wywiadu lekarskiego</w:t>
            </w:r>
          </w:p>
          <w:p w14:paraId="4D4EC9E2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Zbieranie historii choroby</w:t>
            </w:r>
          </w:p>
          <w:p w14:paraId="62A3C22F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potoczne odnośnie stanu chorobowego</w:t>
            </w:r>
          </w:p>
          <w:p w14:paraId="3F5D722C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 xml:space="preserve">Tworzenie pytań </w:t>
            </w:r>
          </w:p>
          <w:p w14:paraId="7EF1C770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Pytania pozorne (</w:t>
            </w:r>
            <w:proofErr w:type="spellStart"/>
            <w:r w:rsidRPr="00D57DA7">
              <w:rPr>
                <w:bCs/>
                <w:sz w:val="20"/>
                <w:szCs w:val="20"/>
              </w:rPr>
              <w:t>Indirect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bCs/>
                <w:sz w:val="20"/>
                <w:szCs w:val="20"/>
              </w:rPr>
              <w:t>Questions</w:t>
            </w:r>
            <w:proofErr w:type="spellEnd"/>
            <w:r w:rsidRPr="00D57DA7">
              <w:rPr>
                <w:bCs/>
                <w:sz w:val="20"/>
                <w:szCs w:val="20"/>
              </w:rPr>
              <w:t>)</w:t>
            </w:r>
          </w:p>
          <w:p w14:paraId="1C7D2281" w14:textId="77777777" w:rsidR="008662EA" w:rsidRPr="00D57DA7" w:rsidRDefault="008662EA" w:rsidP="00CB300C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Greka i Łacina w języku angielskim</w:t>
            </w:r>
          </w:p>
          <w:p w14:paraId="389C8E5A" w14:textId="10C2AA61" w:rsidR="00BF21E3" w:rsidRPr="00D57DA7" w:rsidRDefault="008662EA" w:rsidP="00CB300C">
            <w:pPr>
              <w:pStyle w:val="Akapitzlist"/>
              <w:numPr>
                <w:ilvl w:val="0"/>
                <w:numId w:val="17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Cs/>
                <w:sz w:val="20"/>
                <w:szCs w:val="20"/>
              </w:rPr>
              <w:t xml:space="preserve">Rozróżnienie czasów Past Simple i </w:t>
            </w:r>
            <w:proofErr w:type="spellStart"/>
            <w:r w:rsidRPr="00D57DA7">
              <w:rPr>
                <w:bCs/>
                <w:sz w:val="20"/>
                <w:szCs w:val="20"/>
              </w:rPr>
              <w:t>Present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Perfect</w:t>
            </w:r>
          </w:p>
          <w:p w14:paraId="690DD9F3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lastRenderedPageBreak/>
              <w:t>ĆWICZENIA</w:t>
            </w:r>
          </w:p>
          <w:p w14:paraId="536F3583" w14:textId="46F16904" w:rsidR="00BF21E3" w:rsidRPr="00D57DA7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D57DA7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6C64D48E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F5E03E0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143C656F" w:rsidR="000E65EC" w:rsidRPr="00D57DA7" w:rsidRDefault="00CB300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B</w:t>
            </w:r>
            <w:r w:rsidRPr="00D57DA7">
              <w:rPr>
                <w:b/>
                <w:color w:val="000000" w:themeColor="text1"/>
                <w:lang w:eastAsia="en-US"/>
              </w:rPr>
              <w:t>loku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student </w:t>
            </w:r>
            <w:r w:rsidR="00CB7A2B" w:rsidRPr="00D57DA7">
              <w:rPr>
                <w:b/>
                <w:color w:val="000000" w:themeColor="text1"/>
                <w:lang w:eastAsia="en-US"/>
              </w:rPr>
              <w:t>powinien znać i poprawnie używać słownictwa związanego z budową, funkcjami i chorobami skóry oraz układu moczowego. Powinien także umieć zebrać historię choroby, przeprowadzić wywiad lekarski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oraz umieć opisać stan chorobowy językiem potocznym. Student powinien także umieć tworzyć poprawne pytania bezpośrednie</w:t>
            </w:r>
            <w:r w:rsidR="003F4203" w:rsidRPr="00D57DA7">
              <w:rPr>
                <w:b/>
                <w:color w:val="000000" w:themeColor="text1"/>
                <w:lang w:eastAsia="en-US"/>
              </w:rPr>
              <w:t>,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="003F4203" w:rsidRPr="00D57DA7">
              <w:rPr>
                <w:b/>
                <w:color w:val="000000" w:themeColor="text1"/>
                <w:lang w:eastAsia="en-US"/>
              </w:rPr>
              <w:t>a także</w:t>
            </w:r>
            <w:r w:rsidR="00B115C2" w:rsidRPr="00D57DA7">
              <w:rPr>
                <w:b/>
                <w:color w:val="000000" w:themeColor="text1"/>
                <w:lang w:eastAsia="en-US"/>
              </w:rPr>
              <w:t xml:space="preserve"> pozorne, </w:t>
            </w:r>
            <w:r w:rsidR="003F4203" w:rsidRPr="00D57DA7">
              <w:rPr>
                <w:b/>
                <w:color w:val="000000" w:themeColor="text1"/>
                <w:lang w:eastAsia="en-US"/>
              </w:rPr>
              <w:t xml:space="preserve">rozróżniać i poprawnie stosować czasy Past Simple i </w:t>
            </w:r>
            <w:proofErr w:type="spellStart"/>
            <w:r w:rsidR="003F4203" w:rsidRPr="00D57DA7">
              <w:rPr>
                <w:b/>
                <w:color w:val="000000" w:themeColor="text1"/>
                <w:lang w:eastAsia="en-US"/>
              </w:rPr>
              <w:t>Present</w:t>
            </w:r>
            <w:proofErr w:type="spellEnd"/>
            <w:r w:rsidR="003F4203" w:rsidRPr="00D57DA7">
              <w:rPr>
                <w:b/>
                <w:color w:val="000000" w:themeColor="text1"/>
                <w:lang w:eastAsia="en-US"/>
              </w:rPr>
              <w:t xml:space="preserve"> Perfect oraz </w:t>
            </w:r>
            <w:r w:rsidR="00DE761C" w:rsidRPr="00D57DA7">
              <w:rPr>
                <w:b/>
                <w:color w:val="000000" w:themeColor="text1"/>
                <w:lang w:eastAsia="en-US"/>
              </w:rPr>
              <w:t>umieć stosować przedrostki i przyrostki pochodzące z Greki i Łaciny.</w:t>
            </w:r>
          </w:p>
          <w:p w14:paraId="670FBB70" w14:textId="77777777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53B6FE62" w:rsidR="00BF21E3" w:rsidRPr="00D57DA7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DE761C" w:rsidRPr="00D57DA7">
              <w:rPr>
                <w:b/>
                <w:color w:val="000000" w:themeColor="text1"/>
                <w:lang w:eastAsia="en-US"/>
              </w:rPr>
              <w:t>II</w:t>
            </w:r>
          </w:p>
          <w:p w14:paraId="2EBB72FA" w14:textId="11D24ED4" w:rsidR="00BF21E3" w:rsidRPr="00D57DA7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WYKŁADY (</w:t>
            </w:r>
            <w:r w:rsidR="000E65EC" w:rsidRPr="00D57DA7">
              <w:rPr>
                <w:b/>
                <w:color w:val="000000" w:themeColor="text1"/>
                <w:lang w:eastAsia="en-US"/>
              </w:rPr>
              <w:t>jak wyżej)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20A65567" w14:textId="663B48DE" w:rsidR="00BF21E3" w:rsidRPr="00D57DA7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FD933D1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A5C340" w14:textId="4E66146E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</w:t>
            </w:r>
            <w:r w:rsidR="000E65EC" w:rsidRPr="00D57DA7">
              <w:rPr>
                <w:b/>
                <w:color w:val="000000" w:themeColor="text1"/>
                <w:lang w:eastAsia="en-US"/>
              </w:rPr>
              <w:t xml:space="preserve"> (</w:t>
            </w:r>
            <w:r w:rsidR="00F9602A" w:rsidRPr="00D57DA7">
              <w:rPr>
                <w:b/>
                <w:color w:val="000000" w:themeColor="text1"/>
                <w:lang w:eastAsia="en-US"/>
              </w:rPr>
              <w:t>5 - 8</w:t>
            </w:r>
            <w:r w:rsidR="000E65EC"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16B15041" w14:textId="5B8C79CF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i funkcje układu nerwowego</w:t>
            </w:r>
          </w:p>
          <w:p w14:paraId="2B609339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Opis przypadku</w:t>
            </w:r>
          </w:p>
          <w:p w14:paraId="32FCC1BB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Zbieranie wywiadu medycznego – rejestr potoczny i rejestr medyczny. Struktura wywiadu. Pytania stosowane w wywiadzie lekarskim. Notatki lekarza. Omawianie pacjenta.</w:t>
            </w:r>
          </w:p>
          <w:p w14:paraId="25A0FC7A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oka i ucha</w:t>
            </w:r>
          </w:p>
          <w:p w14:paraId="2C028A1F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Choroby oka i ucha</w:t>
            </w:r>
          </w:p>
          <w:p w14:paraId="78798AC5" w14:textId="77777777" w:rsidR="00DE761C" w:rsidRPr="00D57DA7" w:rsidRDefault="00DE761C" w:rsidP="00DE761C">
            <w:pPr>
              <w:pStyle w:val="Akapitzlist"/>
              <w:numPr>
                <w:ilvl w:val="0"/>
                <w:numId w:val="18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 xml:space="preserve">Przegląd czasów przeszłych </w:t>
            </w:r>
          </w:p>
          <w:p w14:paraId="34403E6D" w14:textId="69CD9AA7" w:rsidR="00BF21E3" w:rsidRPr="00D57DA7" w:rsidRDefault="00DE761C" w:rsidP="00DE761C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Cs/>
                <w:sz w:val="20"/>
                <w:szCs w:val="20"/>
              </w:rPr>
              <w:t>Zdania czasowe</w:t>
            </w:r>
          </w:p>
          <w:p w14:paraId="4401BB1D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4C26E771" w14:textId="0B89BE62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1704F6AC" w14:textId="7831212B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31715875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B298E90" w14:textId="6C0C0DB1" w:rsidR="00CC387F" w:rsidRPr="00D57DA7" w:rsidRDefault="00CC387F" w:rsidP="00CC387F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Po zakończeniu Bloku</w:t>
            </w:r>
            <w:r w:rsidR="00426BD3" w:rsidRPr="00D57DA7">
              <w:rPr>
                <w:b/>
                <w:color w:val="000000" w:themeColor="text1"/>
                <w:lang w:eastAsia="en-US"/>
              </w:rPr>
              <w:t xml:space="preserve"> II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, student powinien znać i poprawnie używać słownictwa związanego z budową, funkcjami i chorobami układu </w:t>
            </w:r>
            <w:r w:rsidR="00262311" w:rsidRPr="00D57DA7">
              <w:rPr>
                <w:b/>
                <w:color w:val="000000" w:themeColor="text1"/>
                <w:lang w:eastAsia="en-US"/>
              </w:rPr>
              <w:t>nerwowego</w:t>
            </w:r>
            <w:r w:rsidR="004C5DCD" w:rsidRPr="00D57DA7">
              <w:rPr>
                <w:b/>
                <w:color w:val="000000" w:themeColor="text1"/>
                <w:lang w:eastAsia="en-US"/>
              </w:rPr>
              <w:t>, oka i ucha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Powinien także umieć zebrać </w:t>
            </w:r>
            <w:r w:rsidR="004C5DCD" w:rsidRPr="00D57DA7">
              <w:rPr>
                <w:b/>
                <w:color w:val="000000" w:themeColor="text1"/>
                <w:lang w:eastAsia="en-US"/>
              </w:rPr>
              <w:t xml:space="preserve">wywiad medyczny posługując się rejestrem medycznym i 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językiem potocznym. Student powinien także umieć tworzyć </w:t>
            </w:r>
            <w:r w:rsidR="001D4B84" w:rsidRPr="00D57DA7">
              <w:rPr>
                <w:b/>
                <w:color w:val="000000" w:themeColor="text1"/>
                <w:lang w:eastAsia="en-US"/>
              </w:rPr>
              <w:t xml:space="preserve">i </w:t>
            </w:r>
            <w:r w:rsidRPr="00D57DA7">
              <w:rPr>
                <w:b/>
                <w:color w:val="000000" w:themeColor="text1"/>
                <w:lang w:eastAsia="en-US"/>
              </w:rPr>
              <w:t>poprawn</w:t>
            </w:r>
            <w:r w:rsidR="001D4B84" w:rsidRPr="00D57DA7">
              <w:rPr>
                <w:b/>
                <w:color w:val="000000" w:themeColor="text1"/>
                <w:lang w:eastAsia="en-US"/>
              </w:rPr>
              <w:t>ie stosować czasy przeszłe oraz zdania czasowe w języku angielskim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1389369B" w14:textId="77777777" w:rsidR="00CC387F" w:rsidRPr="00D57DA7" w:rsidRDefault="00CC387F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70C775" w14:textId="77777777" w:rsidR="000E65EC" w:rsidRPr="00D57DA7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0418E75" w14:textId="119B70BB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CC387F" w:rsidRPr="00D57DA7">
              <w:rPr>
                <w:b/>
                <w:color w:val="000000" w:themeColor="text1"/>
                <w:lang w:eastAsia="en-US"/>
              </w:rPr>
              <w:t>III</w:t>
            </w:r>
          </w:p>
          <w:p w14:paraId="0E02F3D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2251A1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056B972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B91A81B" w14:textId="624523A5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CC387F" w:rsidRPr="00D57DA7">
              <w:rPr>
                <w:b/>
                <w:color w:val="000000" w:themeColor="text1"/>
                <w:lang w:eastAsia="en-US"/>
              </w:rPr>
              <w:t>9 - 13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7A823C71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Budowa i funkcje układu rozrodczego żeńskiego i męskiego</w:t>
            </w:r>
          </w:p>
          <w:p w14:paraId="7155BE19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potoczne określające menstruację, ciążę etc.</w:t>
            </w:r>
          </w:p>
          <w:p w14:paraId="016AB973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Wyrażenia dotyczące określania wieku pacjenta</w:t>
            </w:r>
          </w:p>
          <w:p w14:paraId="765927B2" w14:textId="77777777" w:rsidR="00712371" w:rsidRPr="00D57DA7" w:rsidRDefault="00712371" w:rsidP="00712371">
            <w:pPr>
              <w:pStyle w:val="Akapitzlist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Przekazywanie złych wiadomości pacjentowi (wyrażanie współczucia, tłumaczenie procesu chorobowego, rokowania).</w:t>
            </w:r>
            <w:r w:rsidRPr="00D57DA7">
              <w:rPr>
                <w:sz w:val="20"/>
                <w:szCs w:val="20"/>
              </w:rPr>
              <w:t xml:space="preserve"> Badania diagnostyczne. Rodzaje badań diagnostycznych. Badania typowe </w:t>
            </w:r>
            <w:r w:rsidRPr="00D57DA7">
              <w:rPr>
                <w:sz w:val="20"/>
                <w:szCs w:val="20"/>
              </w:rPr>
              <w:lastRenderedPageBreak/>
              <w:t>dla diagnostyki układów. Skróty. Diagnoza różnicowa.</w:t>
            </w:r>
          </w:p>
          <w:p w14:paraId="6DEAC27D" w14:textId="5554DD56" w:rsidR="008662EA" w:rsidRPr="00D57DA7" w:rsidRDefault="00712371" w:rsidP="00712371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sz w:val="20"/>
                <w:szCs w:val="20"/>
              </w:rPr>
              <w:t>Mowa zależna oraz czasowniki wprowadzające</w:t>
            </w:r>
          </w:p>
          <w:p w14:paraId="6234157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A1CEB9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3287348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07F6369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1932F9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96A5D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51F0E27C" w14:textId="58DE1CB2" w:rsidR="00426BD3" w:rsidRPr="00D57DA7" w:rsidRDefault="00426BD3" w:rsidP="00426BD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Bloku III, student powinien znać i poprawnie używać słownictwa związanego z </w:t>
            </w:r>
            <w:r w:rsidR="008B4E2B" w:rsidRPr="00D57DA7">
              <w:rPr>
                <w:b/>
                <w:color w:val="000000" w:themeColor="text1"/>
                <w:lang w:eastAsia="en-US"/>
              </w:rPr>
              <w:t>budową i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funkcjami układu </w:t>
            </w:r>
            <w:r w:rsidR="008B4E2B" w:rsidRPr="00D57DA7">
              <w:rPr>
                <w:b/>
                <w:color w:val="000000" w:themeColor="text1"/>
                <w:lang w:eastAsia="en-US"/>
              </w:rPr>
              <w:t>rozrodczego żeńskiego i męskieg</w:t>
            </w:r>
            <w:r w:rsidR="0043492A" w:rsidRPr="00D57DA7">
              <w:rPr>
                <w:b/>
                <w:color w:val="000000" w:themeColor="text1"/>
                <w:lang w:eastAsia="en-US"/>
              </w:rPr>
              <w:t>o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Powinien także umieć </w:t>
            </w:r>
            <w:r w:rsidR="0043492A" w:rsidRPr="00D57DA7">
              <w:rPr>
                <w:b/>
                <w:color w:val="000000" w:themeColor="text1"/>
                <w:lang w:eastAsia="en-US"/>
              </w:rPr>
              <w:t>poprawnie stosować wyrażenia określające me</w:t>
            </w:r>
            <w:r w:rsidR="000E2E04" w:rsidRPr="00D57DA7">
              <w:rPr>
                <w:b/>
                <w:color w:val="000000" w:themeColor="text1"/>
                <w:lang w:eastAsia="en-US"/>
              </w:rPr>
              <w:t>n</w:t>
            </w:r>
            <w:r w:rsidR="0043492A" w:rsidRPr="00D57DA7">
              <w:rPr>
                <w:b/>
                <w:color w:val="000000" w:themeColor="text1"/>
                <w:lang w:eastAsia="en-US"/>
              </w:rPr>
              <w:t xml:space="preserve">struację, ciążę, wiek </w:t>
            </w:r>
            <w:r w:rsidR="000E2E04" w:rsidRPr="00D57DA7">
              <w:rPr>
                <w:b/>
                <w:color w:val="000000" w:themeColor="text1"/>
                <w:lang w:eastAsia="en-US"/>
              </w:rPr>
              <w:t>pacjenta, a także omówić i wyjaśnić badania diagnostyczne</w:t>
            </w:r>
            <w:r w:rsidR="00573601" w:rsidRPr="00D57DA7">
              <w:rPr>
                <w:b/>
                <w:color w:val="000000" w:themeColor="text1"/>
                <w:lang w:eastAsia="en-US"/>
              </w:rPr>
              <w:t xml:space="preserve"> oraz przekazać pacjentowi złe wiadomości</w:t>
            </w:r>
            <w:r w:rsidR="000E2E04" w:rsidRPr="00D57DA7">
              <w:rPr>
                <w:b/>
                <w:color w:val="000000" w:themeColor="text1"/>
                <w:lang w:eastAsia="en-US"/>
              </w:rPr>
              <w:t>. S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tudent powinien umieć tworzyć i poprawnie stosować </w:t>
            </w:r>
            <w:r w:rsidR="00125BEC" w:rsidRPr="00D57DA7">
              <w:rPr>
                <w:b/>
                <w:color w:val="000000" w:themeColor="text1"/>
                <w:lang w:eastAsia="en-US"/>
              </w:rPr>
              <w:t>mowę zależną oraz czasowniki wprowadzające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39BAE506" w14:textId="77777777" w:rsidR="00426BD3" w:rsidRPr="00D57DA7" w:rsidRDefault="00426BD3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1755B1E" w14:textId="77777777" w:rsidR="00CC387F" w:rsidRPr="00D57DA7" w:rsidRDefault="00CC387F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5564A5CF" w14:textId="3E501812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CC387F" w:rsidRPr="00D57DA7">
              <w:rPr>
                <w:b/>
                <w:color w:val="000000" w:themeColor="text1"/>
                <w:lang w:eastAsia="en-US"/>
              </w:rPr>
              <w:t>IV</w:t>
            </w:r>
          </w:p>
          <w:p w14:paraId="1139D05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71FA60C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2D5FEE4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6CC0DF4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E42E4D0" w14:textId="6079749B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9D7D66" w:rsidRPr="00D57DA7">
              <w:rPr>
                <w:b/>
                <w:color w:val="000000" w:themeColor="text1"/>
                <w:lang w:eastAsia="en-US"/>
              </w:rPr>
              <w:t>13 - 17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2B150E46" w14:textId="461DDB58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Choroba i stany chorobowe:</w:t>
            </w:r>
          </w:p>
          <w:p w14:paraId="61D16A6B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opis stanu chorobowego,</w:t>
            </w:r>
          </w:p>
          <w:p w14:paraId="39EC86A7" w14:textId="230E3376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</w:t>
            </w:r>
            <w:r w:rsidR="00263ED9" w:rsidRPr="00D57DA7">
              <w:rPr>
                <w:sz w:val="20"/>
                <w:szCs w:val="20"/>
              </w:rPr>
              <w:t xml:space="preserve"> </w:t>
            </w:r>
            <w:r w:rsidRPr="00D57DA7">
              <w:rPr>
                <w:sz w:val="20"/>
                <w:szCs w:val="20"/>
              </w:rPr>
              <w:t>rodzaje chorób i zaburzeń narządowych i systemowych,</w:t>
            </w:r>
          </w:p>
          <w:p w14:paraId="41F69134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przykłady chorób narządowych i systemowych,</w:t>
            </w:r>
          </w:p>
          <w:p w14:paraId="2B2D5E3F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nowotwory,</w:t>
            </w:r>
          </w:p>
          <w:p w14:paraId="06854F03" w14:textId="77777777" w:rsidR="00125BEC" w:rsidRPr="00D57DA7" w:rsidRDefault="00125BEC" w:rsidP="00125BEC">
            <w:pPr>
              <w:pStyle w:val="Akapitzlist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urazy,</w:t>
            </w:r>
          </w:p>
          <w:p w14:paraId="4334DB70" w14:textId="77777777" w:rsidR="00125BEC" w:rsidRPr="00D57DA7" w:rsidRDefault="00125BEC" w:rsidP="00125BEC">
            <w:pPr>
              <w:pStyle w:val="Akapitzlist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- rejestr potoczny i rejestr medyczny.</w:t>
            </w:r>
          </w:p>
          <w:p w14:paraId="5DD33E1D" w14:textId="77777777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Podstawowe cechy antybiotyków</w:t>
            </w:r>
          </w:p>
          <w:p w14:paraId="0C02C3FE" w14:textId="77777777" w:rsidR="00125BEC" w:rsidRPr="00D57DA7" w:rsidRDefault="00125BEC" w:rsidP="00125BEC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Prewencja</w:t>
            </w:r>
          </w:p>
          <w:p w14:paraId="2750CB9E" w14:textId="61259880" w:rsidR="008662EA" w:rsidRPr="00D57DA7" w:rsidRDefault="00125BEC" w:rsidP="00125BEC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GB" w:eastAsia="en-US"/>
              </w:rPr>
            </w:pPr>
            <w:proofErr w:type="spellStart"/>
            <w:r w:rsidRPr="00D57DA7">
              <w:rPr>
                <w:sz w:val="20"/>
                <w:szCs w:val="20"/>
                <w:lang w:val="en-GB"/>
              </w:rPr>
              <w:t>Okresy</w:t>
            </w:r>
            <w:proofErr w:type="spellEnd"/>
            <w:r w:rsidRPr="00D57DA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  <w:lang w:val="en-GB"/>
              </w:rPr>
              <w:t>warunkowe</w:t>
            </w:r>
            <w:proofErr w:type="spellEnd"/>
            <w:r w:rsidRPr="00D57DA7">
              <w:rPr>
                <w:sz w:val="20"/>
                <w:szCs w:val="20"/>
                <w:lang w:val="en-GB"/>
              </w:rPr>
              <w:t xml:space="preserve"> (wishes and regrets / unreal past)</w:t>
            </w:r>
          </w:p>
          <w:p w14:paraId="61A02DE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val="en-GB" w:eastAsia="en-US"/>
              </w:rPr>
            </w:pPr>
          </w:p>
          <w:p w14:paraId="42F4D6E2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45E4820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6A5C3B6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3B9B14ED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77E9F8A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6AB1A5E0" w14:textId="377AE350" w:rsidR="007F7CA7" w:rsidRPr="00D57DA7" w:rsidRDefault="007F7CA7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Po zakończeniu Bloku IV, student powinien znać i poprawnie używać słownictwa związanego z opisem stanu choro</w:t>
            </w:r>
            <w:r w:rsidR="00263ED9" w:rsidRPr="00D57DA7">
              <w:rPr>
                <w:b/>
                <w:color w:val="000000" w:themeColor="text1"/>
                <w:lang w:eastAsia="en-US"/>
              </w:rPr>
              <w:t>b</w:t>
            </w:r>
            <w:r w:rsidRPr="00D57DA7">
              <w:rPr>
                <w:b/>
                <w:color w:val="000000" w:themeColor="text1"/>
                <w:lang w:eastAsia="en-US"/>
              </w:rPr>
              <w:t>owego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, rodzajami </w:t>
            </w:r>
            <w:r w:rsidR="00673135" w:rsidRPr="00D57DA7">
              <w:rPr>
                <w:b/>
                <w:color w:val="000000" w:themeColor="text1"/>
                <w:lang w:eastAsia="en-US"/>
              </w:rPr>
              <w:t>chorób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 i </w:t>
            </w:r>
            <w:r w:rsidR="00673135" w:rsidRPr="00D57DA7">
              <w:rPr>
                <w:b/>
                <w:color w:val="000000" w:themeColor="text1"/>
                <w:lang w:eastAsia="en-US"/>
              </w:rPr>
              <w:t>zaburzeń</w:t>
            </w:r>
            <w:r w:rsidR="00CF174D" w:rsidRPr="00D57DA7">
              <w:rPr>
                <w:b/>
                <w:color w:val="000000" w:themeColor="text1"/>
                <w:lang w:eastAsia="en-US"/>
              </w:rPr>
              <w:t>,</w:t>
            </w:r>
            <w:r w:rsidR="00263ED9" w:rsidRPr="00D57DA7">
              <w:rPr>
                <w:b/>
                <w:color w:val="000000" w:themeColor="text1"/>
                <w:lang w:eastAsia="en-US"/>
              </w:rPr>
              <w:t xml:space="preserve"> zarówno w rejestrze medycznym, jak i potocznym</w:t>
            </w:r>
            <w:r w:rsidRPr="00D57DA7">
              <w:rPr>
                <w:b/>
                <w:color w:val="000000" w:themeColor="text1"/>
                <w:lang w:eastAsia="en-US"/>
              </w:rPr>
              <w:t>. Powinien także umieć</w:t>
            </w:r>
            <w:r w:rsidR="00673135" w:rsidRPr="00D57DA7">
              <w:rPr>
                <w:b/>
                <w:color w:val="000000" w:themeColor="text1"/>
                <w:lang w:eastAsia="en-US"/>
              </w:rPr>
              <w:t xml:space="preserve"> opisać podstawowe cechy antybiotyków oraz </w:t>
            </w:r>
            <w:r w:rsidR="00CF174D" w:rsidRPr="00D57DA7">
              <w:rPr>
                <w:b/>
                <w:color w:val="000000" w:themeColor="text1"/>
                <w:lang w:eastAsia="en-US"/>
              </w:rPr>
              <w:t>umieć stosować słownictwo związane z prewencją chorób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Student powinien umieć tworzyć i poprawnie stosować </w:t>
            </w:r>
            <w:r w:rsidR="00CF174D" w:rsidRPr="00D57DA7">
              <w:rPr>
                <w:b/>
                <w:color w:val="000000" w:themeColor="text1"/>
                <w:lang w:eastAsia="en-US"/>
              </w:rPr>
              <w:t>okresy warunkowe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2E7B4051" w14:textId="77777777" w:rsidR="009D7D66" w:rsidRPr="00D57DA7" w:rsidRDefault="009D7D66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5FBB49FF" w14:textId="635CC6CA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9D7D66" w:rsidRPr="00D57DA7">
              <w:rPr>
                <w:b/>
                <w:color w:val="000000" w:themeColor="text1"/>
                <w:lang w:eastAsia="en-US"/>
              </w:rPr>
              <w:t>V</w:t>
            </w:r>
          </w:p>
          <w:p w14:paraId="2F12A5D0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796FDECC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53C327D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0DBC34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1AFCB745" w14:textId="2F0E34CB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9D7D66" w:rsidRPr="00D57DA7">
              <w:rPr>
                <w:b/>
                <w:color w:val="000000" w:themeColor="text1"/>
                <w:lang w:eastAsia="en-US"/>
              </w:rPr>
              <w:t>18 - 22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0CA6D71C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lastRenderedPageBreak/>
              <w:t xml:space="preserve">Badanie lekarskie. </w:t>
            </w:r>
          </w:p>
          <w:p w14:paraId="78AFDE93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Schemat badania lekarskiego. </w:t>
            </w:r>
          </w:p>
          <w:p w14:paraId="642AED55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Instrukcje do pacjenta. </w:t>
            </w:r>
          </w:p>
          <w:p w14:paraId="69A7148A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Objawy i oznaki kliniczne. </w:t>
            </w:r>
          </w:p>
          <w:p w14:paraId="2D569EDC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Wyposażenie gabinetu lekarskiego. </w:t>
            </w:r>
          </w:p>
          <w:p w14:paraId="32BCC533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Instrumenty medyczne. </w:t>
            </w:r>
          </w:p>
          <w:p w14:paraId="26EEC89A" w14:textId="77777777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Notatki lekarza. </w:t>
            </w:r>
          </w:p>
          <w:p w14:paraId="3B6D03C1" w14:textId="31929663" w:rsidR="00FC4464" w:rsidRPr="00D57DA7" w:rsidRDefault="00FC4464" w:rsidP="00FC4464">
            <w:pPr>
              <w:pStyle w:val="Akapitzlist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Rejestr potoczny i rejestr medyczny.</w:t>
            </w:r>
          </w:p>
          <w:p w14:paraId="6C0F8338" w14:textId="6035D7DB" w:rsidR="008662EA" w:rsidRPr="00D57DA7" w:rsidRDefault="00FC4464" w:rsidP="00FC4464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sz w:val="20"/>
                <w:szCs w:val="20"/>
              </w:rPr>
              <w:t>Czasownik „</w:t>
            </w:r>
            <w:proofErr w:type="spellStart"/>
            <w:r w:rsidRPr="00D57DA7">
              <w:rPr>
                <w:sz w:val="20"/>
                <w:szCs w:val="20"/>
              </w:rPr>
              <w:t>have</w:t>
            </w:r>
            <w:proofErr w:type="spellEnd"/>
            <w:r w:rsidRPr="00D57DA7">
              <w:rPr>
                <w:sz w:val="20"/>
                <w:szCs w:val="20"/>
              </w:rPr>
              <w:t>” w formie kauzatywnej</w:t>
            </w:r>
          </w:p>
          <w:p w14:paraId="2A29DB2E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A2C9567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3B6C5919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46A2F54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74A7FBBB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C26F28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782C8A97" w14:textId="3ECDCD26" w:rsidR="00FC4464" w:rsidRPr="00D57DA7" w:rsidRDefault="00FC4464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Po zakończeniu Bloku V, student powinien znać i poprawnie używać słownictwa związanego z </w:t>
            </w:r>
            <w:r w:rsidR="00B904B7" w:rsidRPr="00D57DA7">
              <w:rPr>
                <w:b/>
                <w:color w:val="000000" w:themeColor="text1"/>
                <w:lang w:eastAsia="en-US"/>
              </w:rPr>
              <w:t>badaniem lekarskim, jego przeprowadzeniem i wyjaśnieniem poszczególnych etapów pacjentowi</w:t>
            </w:r>
            <w:r w:rsidR="00FC438E" w:rsidRPr="00D57DA7">
              <w:rPr>
                <w:b/>
                <w:color w:val="000000" w:themeColor="text1"/>
                <w:lang w:eastAsia="en-US"/>
              </w:rPr>
              <w:t xml:space="preserve"> oraz </w:t>
            </w:r>
            <w:r w:rsidR="00AC528C" w:rsidRPr="00D57DA7">
              <w:rPr>
                <w:b/>
                <w:color w:val="000000" w:themeColor="text1"/>
                <w:lang w:eastAsia="en-US"/>
              </w:rPr>
              <w:t>słownictwa odnoszącego się do tworzenia notatek</w:t>
            </w:r>
            <w:r w:rsidR="00FC438E" w:rsidRPr="00D57DA7">
              <w:rPr>
                <w:b/>
                <w:color w:val="000000" w:themeColor="text1"/>
                <w:lang w:eastAsia="en-US"/>
              </w:rPr>
              <w:t xml:space="preserve"> lekarza</w:t>
            </w:r>
            <w:r w:rsidR="00B904B7" w:rsidRPr="00D57DA7">
              <w:rPr>
                <w:b/>
                <w:color w:val="000000" w:themeColor="text1"/>
                <w:lang w:eastAsia="en-US"/>
              </w:rPr>
              <w:t xml:space="preserve">. Powinien umieć opisać objawy i oznaki kliniczne w rejestrze medycznym i potocznym, a także </w:t>
            </w:r>
            <w:r w:rsidR="00C64510" w:rsidRPr="00D57DA7">
              <w:rPr>
                <w:b/>
                <w:color w:val="000000" w:themeColor="text1"/>
                <w:lang w:eastAsia="en-US"/>
              </w:rPr>
              <w:t>opisać wyposażenie gabinetu lekarskiego i instrumenty medyczne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. Student powinien umieć tworzyć i poprawnie stosować </w:t>
            </w:r>
            <w:r w:rsidR="00FC438E" w:rsidRPr="00D57DA7">
              <w:rPr>
                <w:b/>
                <w:color w:val="000000" w:themeColor="text1"/>
                <w:lang w:eastAsia="en-US"/>
              </w:rPr>
              <w:t>czasownik „</w:t>
            </w:r>
            <w:proofErr w:type="spellStart"/>
            <w:r w:rsidR="00FC438E" w:rsidRPr="00D57DA7">
              <w:rPr>
                <w:b/>
                <w:color w:val="000000" w:themeColor="text1"/>
                <w:lang w:eastAsia="en-US"/>
              </w:rPr>
              <w:t>have</w:t>
            </w:r>
            <w:proofErr w:type="spellEnd"/>
            <w:r w:rsidR="00FC438E" w:rsidRPr="00D57DA7">
              <w:rPr>
                <w:b/>
                <w:color w:val="000000" w:themeColor="text1"/>
                <w:lang w:eastAsia="en-US"/>
              </w:rPr>
              <w:t>” w formie kauzatywnej</w:t>
            </w:r>
            <w:r w:rsidRPr="00D57DA7">
              <w:rPr>
                <w:b/>
                <w:color w:val="000000" w:themeColor="text1"/>
                <w:lang w:eastAsia="en-US"/>
              </w:rPr>
              <w:t>.</w:t>
            </w:r>
          </w:p>
          <w:p w14:paraId="7844070A" w14:textId="77777777" w:rsidR="00AC528C" w:rsidRPr="00D57DA7" w:rsidRDefault="00AC528C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2E2F2D65" w14:textId="73924013" w:rsidR="008662EA" w:rsidRPr="00D57DA7" w:rsidRDefault="008662EA" w:rsidP="008662EA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BLOK </w:t>
            </w:r>
            <w:r w:rsidR="00AC528C" w:rsidRPr="00D57DA7">
              <w:rPr>
                <w:b/>
                <w:color w:val="000000" w:themeColor="text1"/>
                <w:lang w:eastAsia="en-US"/>
              </w:rPr>
              <w:t>VI</w:t>
            </w:r>
          </w:p>
          <w:p w14:paraId="62ED49B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WYKŁADY (jak wyżej)  </w:t>
            </w:r>
          </w:p>
          <w:p w14:paraId="4430E883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6D206FB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06A7AE7" w14:textId="21EF46B2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SEMINARIA (</w:t>
            </w:r>
            <w:r w:rsidR="001C0886" w:rsidRPr="00D57DA7">
              <w:rPr>
                <w:b/>
                <w:color w:val="000000" w:themeColor="text1"/>
                <w:lang w:eastAsia="en-US"/>
              </w:rPr>
              <w:t>24 - 30</w:t>
            </w:r>
            <w:r w:rsidRPr="00D57DA7">
              <w:rPr>
                <w:b/>
                <w:color w:val="000000" w:themeColor="text1"/>
                <w:lang w:eastAsia="en-US"/>
              </w:rPr>
              <w:t>)</w:t>
            </w:r>
          </w:p>
          <w:p w14:paraId="6EDA1EF5" w14:textId="17AC53A1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Powtórki przed egzaminem pisemnym</w:t>
            </w:r>
          </w:p>
          <w:p w14:paraId="40E2A260" w14:textId="6A1D4457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Powtórki przed egzaminem </w:t>
            </w:r>
            <w:r w:rsidR="00D57DA7">
              <w:rPr>
                <w:sz w:val="20"/>
                <w:szCs w:val="20"/>
              </w:rPr>
              <w:t>ustnym</w:t>
            </w:r>
          </w:p>
          <w:p w14:paraId="6DC40972" w14:textId="5FA5BC04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Dodatkowe formy sprawdzania wiedzy (ustne i pisemne)</w:t>
            </w:r>
          </w:p>
          <w:p w14:paraId="517C2300" w14:textId="77777777" w:rsidR="001C0886" w:rsidRPr="00D57DA7" w:rsidRDefault="001C0886" w:rsidP="001C0886">
            <w:pPr>
              <w:pStyle w:val="Akapitzlist"/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Testy </w:t>
            </w:r>
            <w:proofErr w:type="spellStart"/>
            <w:r w:rsidRPr="00D57DA7">
              <w:rPr>
                <w:sz w:val="20"/>
                <w:szCs w:val="20"/>
              </w:rPr>
              <w:t>śródsemestralne</w:t>
            </w:r>
            <w:proofErr w:type="spellEnd"/>
            <w:r w:rsidRPr="00D57DA7">
              <w:rPr>
                <w:sz w:val="20"/>
                <w:szCs w:val="20"/>
              </w:rPr>
              <w:t xml:space="preserve"> i semestralne</w:t>
            </w:r>
          </w:p>
          <w:p w14:paraId="5FF9A50A" w14:textId="28876FD6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73D6886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33A7060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ĆWICZENIA</w:t>
            </w:r>
          </w:p>
          <w:p w14:paraId="03F605E5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(jak wyżej)</w:t>
            </w:r>
          </w:p>
          <w:p w14:paraId="104CCEB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1.</w:t>
            </w:r>
          </w:p>
          <w:p w14:paraId="6DA27ED1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97B0A04" w14:textId="77777777" w:rsidR="008662EA" w:rsidRPr="00D57DA7" w:rsidRDefault="008662EA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70B17968" w14:textId="3D0AEE3B" w:rsidR="00714543" w:rsidRPr="00D57DA7" w:rsidRDefault="00714543" w:rsidP="0071454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 xml:space="preserve">W czasie seminariów powtórkowych, studenci utrwalają zrealizowany materiał, przygotowują się do egzaminów końcowych z lektoratu (pisemny i ustny), ćwiczą wypowiedź </w:t>
            </w:r>
            <w:r w:rsidR="00B855B6" w:rsidRPr="00D57DA7">
              <w:rPr>
                <w:b/>
                <w:color w:val="000000" w:themeColor="text1"/>
                <w:lang w:eastAsia="en-US"/>
              </w:rPr>
              <w:t>egzaminacyjną</w:t>
            </w:r>
            <w:r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="00B855B6" w:rsidRPr="00D57DA7">
              <w:rPr>
                <w:b/>
                <w:color w:val="000000" w:themeColor="text1"/>
                <w:lang w:eastAsia="en-US"/>
              </w:rPr>
              <w:t>na podstawie poszczególnych przypadków medycznych</w:t>
            </w:r>
            <w:r w:rsidR="004D16AE">
              <w:rPr>
                <w:b/>
                <w:color w:val="000000" w:themeColor="text1"/>
                <w:lang w:eastAsia="en-US"/>
              </w:rPr>
              <w:t xml:space="preserve"> (zbieranie wywiadu, wyjaśnienie etapów badania, postawienie diagnozy</w:t>
            </w:r>
            <w:r w:rsidR="00C5665B">
              <w:rPr>
                <w:b/>
                <w:color w:val="000000" w:themeColor="text1"/>
                <w:lang w:eastAsia="en-US"/>
              </w:rPr>
              <w:t>, skierowanie na dalsze badania)</w:t>
            </w:r>
            <w:r w:rsidR="00CA10C2" w:rsidRPr="00D57DA7">
              <w:rPr>
                <w:b/>
                <w:color w:val="000000" w:themeColor="text1"/>
                <w:lang w:eastAsia="en-US"/>
              </w:rPr>
              <w:t>.</w:t>
            </w:r>
            <w:r w:rsidR="00B855B6" w:rsidRPr="00D57DA7">
              <w:rPr>
                <w:b/>
                <w:color w:val="000000" w:themeColor="text1"/>
                <w:lang w:eastAsia="en-US"/>
              </w:rPr>
              <w:t xml:space="preserve"> </w:t>
            </w:r>
            <w:r w:rsidRPr="00D57DA7">
              <w:rPr>
                <w:b/>
                <w:color w:val="000000" w:themeColor="text1"/>
                <w:lang w:eastAsia="en-US"/>
              </w:rPr>
              <w:t>W ciągu roku akademickiego studenci przystępują do 4 testów.</w:t>
            </w:r>
          </w:p>
          <w:p w14:paraId="5E6AAC26" w14:textId="17E43AF9" w:rsidR="00714543" w:rsidRPr="00D57DA7" w:rsidRDefault="00714543" w:rsidP="008662EA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D57DA7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D57DA7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57DA7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 w:rsidRPr="00D57DA7">
              <w:rPr>
                <w:color w:val="000000" w:themeColor="text1"/>
                <w:lang w:eastAsia="en-US"/>
              </w:rPr>
              <w:t xml:space="preserve"> </w:t>
            </w:r>
          </w:p>
          <w:p w14:paraId="521DF463" w14:textId="321F200B" w:rsidR="009D2105" w:rsidRPr="00D57DA7" w:rsidRDefault="009D2105" w:rsidP="009D2105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57DA7">
              <w:rPr>
                <w:color w:val="000000" w:themeColor="text1"/>
                <w:lang w:eastAsia="en-US"/>
              </w:rPr>
              <w:t>W przypadku kursu języka angielskiego studentów obowiązują dwa podręczniki na dwa lata nauki</w:t>
            </w:r>
          </w:p>
          <w:p w14:paraId="1B15576A" w14:textId="77777777" w:rsidR="00BF21E3" w:rsidRPr="00D57DA7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RPr="00D57DA7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Pr="00D57DA7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57DA7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57DA7">
              <w:rPr>
                <w:b/>
                <w:lang w:eastAsia="en-US"/>
              </w:rPr>
              <w:t>Literatura obowiązująca</w:t>
            </w:r>
          </w:p>
          <w:p w14:paraId="716EA6FB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</w:rPr>
              <w:t>Lipińska, A.; S. Wiśniewska-</w:t>
            </w:r>
            <w:proofErr w:type="spellStart"/>
            <w:r w:rsidRPr="00D57DA7">
              <w:rPr>
                <w:sz w:val="20"/>
                <w:szCs w:val="20"/>
              </w:rPr>
              <w:t>Leśków</w:t>
            </w:r>
            <w:proofErr w:type="spellEnd"/>
            <w:r w:rsidRPr="00D57DA7">
              <w:rPr>
                <w:sz w:val="20"/>
                <w:szCs w:val="20"/>
              </w:rPr>
              <w:t xml:space="preserve">, Z. Szczepankiewicz. </w:t>
            </w:r>
            <w:r w:rsidRPr="00D57DA7">
              <w:rPr>
                <w:sz w:val="20"/>
                <w:szCs w:val="20"/>
                <w:lang w:val="en-US"/>
              </w:rPr>
              <w:t xml:space="preserve">2013. English for Medical Sciences.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MedPharm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Polska</w:t>
            </w:r>
            <w:proofErr w:type="spellEnd"/>
          </w:p>
          <w:p w14:paraId="3D08DF06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Lipińska, A.; S. Wiśniewska-</w:t>
            </w:r>
            <w:proofErr w:type="spellStart"/>
            <w:r w:rsidRPr="00D57DA7">
              <w:rPr>
                <w:sz w:val="20"/>
                <w:szCs w:val="20"/>
              </w:rPr>
              <w:t>Leśków</w:t>
            </w:r>
            <w:proofErr w:type="spellEnd"/>
            <w:r w:rsidRPr="00D57DA7">
              <w:rPr>
                <w:sz w:val="20"/>
                <w:szCs w:val="20"/>
              </w:rPr>
              <w:t xml:space="preserve">, Z. Szczepankiewicz. </w:t>
            </w:r>
            <w:r w:rsidRPr="00D57DA7">
              <w:rPr>
                <w:sz w:val="20"/>
                <w:szCs w:val="20"/>
                <w:lang w:val="en-US"/>
              </w:rPr>
              <w:t xml:space="preserve">2013. English for Medical Sciences. Extra Language Practice. </w:t>
            </w:r>
            <w:proofErr w:type="spellStart"/>
            <w:r w:rsidRPr="00D57DA7">
              <w:rPr>
                <w:sz w:val="20"/>
                <w:szCs w:val="20"/>
              </w:rPr>
              <w:t>MedPharm</w:t>
            </w:r>
            <w:proofErr w:type="spellEnd"/>
            <w:r w:rsidRPr="00D57DA7">
              <w:rPr>
                <w:sz w:val="20"/>
                <w:szCs w:val="20"/>
              </w:rPr>
              <w:t xml:space="preserve"> Polska</w:t>
            </w:r>
          </w:p>
          <w:p w14:paraId="6F6C52AC" w14:textId="77777777" w:rsidR="00BF21E3" w:rsidRPr="00D57DA7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D57DA7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D57DA7">
              <w:rPr>
                <w:b/>
                <w:sz w:val="24"/>
                <w:lang w:eastAsia="en-US"/>
              </w:rPr>
              <w:t>Literatura uzupełniająca</w:t>
            </w:r>
          </w:p>
          <w:p w14:paraId="4C56E756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Ciecierska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, J., B. </w:t>
            </w:r>
            <w:proofErr w:type="spellStart"/>
            <w:r w:rsidRPr="00D57DA7">
              <w:rPr>
                <w:sz w:val="20"/>
                <w:szCs w:val="20"/>
                <w:lang w:val="en-US"/>
              </w:rPr>
              <w:t>Jenike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 xml:space="preserve">. 2007. English for Medicine. </w:t>
            </w:r>
            <w:r w:rsidRPr="00D57DA7">
              <w:rPr>
                <w:sz w:val="20"/>
                <w:szCs w:val="20"/>
              </w:rPr>
              <w:t>PZWL.</w:t>
            </w:r>
          </w:p>
          <w:p w14:paraId="3CF59E31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Glendinning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>, E.H. 2005. English in Medicine. Cambridge University Press</w:t>
            </w:r>
          </w:p>
          <w:p w14:paraId="35C2905F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  <w:lang w:val="en-US"/>
              </w:rPr>
              <w:t>McCarter, S. 2009. Oxford for Careers. Medicine 1 and 2. OUP</w:t>
            </w:r>
          </w:p>
          <w:p w14:paraId="04296CCC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D57DA7">
              <w:rPr>
                <w:sz w:val="20"/>
                <w:szCs w:val="20"/>
                <w:lang w:val="en-US"/>
              </w:rPr>
              <w:t>McCullagh</w:t>
            </w:r>
            <w:proofErr w:type="spellEnd"/>
            <w:r w:rsidRPr="00D57DA7">
              <w:rPr>
                <w:sz w:val="20"/>
                <w:szCs w:val="20"/>
                <w:lang w:val="en-US"/>
              </w:rPr>
              <w:t>, M. 2008. Good Practice. Cambridge University Press</w:t>
            </w:r>
          </w:p>
          <w:p w14:paraId="443F913F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Thomson A.J.; A.V. Martinet. 2006. A practical English Grammar – A handbook. Oxford University Press </w:t>
            </w:r>
          </w:p>
          <w:p w14:paraId="55B3EE22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Thomson A.J.; A.V. Martinet. 2006. A practical English Grammar – Exercises. Oxford University Press </w:t>
            </w:r>
          </w:p>
          <w:p w14:paraId="72C37CCB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 xml:space="preserve">Alexander, L.G. 1999. Longman English Grammar. </w:t>
            </w:r>
            <w:r w:rsidRPr="00D57DA7">
              <w:rPr>
                <w:sz w:val="20"/>
                <w:szCs w:val="20"/>
              </w:rPr>
              <w:t>Longman.</w:t>
            </w:r>
          </w:p>
          <w:p w14:paraId="50976DE8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sz w:val="20"/>
                <w:szCs w:val="20"/>
                <w:lang w:val="en-US"/>
              </w:rPr>
            </w:pPr>
            <w:r w:rsidRPr="00D57DA7">
              <w:rPr>
                <w:sz w:val="20"/>
                <w:szCs w:val="20"/>
                <w:lang w:val="en-US"/>
              </w:rPr>
              <w:t>Murphy, Raymond. 2012. English Grammar in Use. Cambridge University Press</w:t>
            </w:r>
          </w:p>
          <w:p w14:paraId="58514B93" w14:textId="66FD1B01" w:rsidR="007E6D38" w:rsidRPr="00D57DA7" w:rsidRDefault="007E6D38" w:rsidP="009D2105">
            <w:pPr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 w:rsidRPr="00BB2B02">
              <w:rPr>
                <w:bCs/>
                <w:sz w:val="20"/>
                <w:szCs w:val="20"/>
                <w:lang w:val="en-US"/>
              </w:rPr>
              <w:t xml:space="preserve">Pohl, A. 2004. Test your Professional English. </w:t>
            </w:r>
            <w:proofErr w:type="spellStart"/>
            <w:r w:rsidRPr="00D57DA7">
              <w:rPr>
                <w:bCs/>
                <w:sz w:val="20"/>
                <w:szCs w:val="20"/>
              </w:rPr>
              <w:t>Medical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57DA7">
              <w:rPr>
                <w:bCs/>
                <w:sz w:val="20"/>
                <w:szCs w:val="20"/>
              </w:rPr>
              <w:t>Penguin</w:t>
            </w:r>
            <w:proofErr w:type="spellEnd"/>
            <w:r w:rsidRPr="00D57DA7">
              <w:rPr>
                <w:bCs/>
                <w:sz w:val="20"/>
                <w:szCs w:val="20"/>
              </w:rPr>
              <w:t xml:space="preserve"> English</w:t>
            </w:r>
          </w:p>
          <w:p w14:paraId="5C60485A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Słomski, P. 1991. Słownik Lekarski Angielsko-Polski Polsko-Angielski. PZWL</w:t>
            </w:r>
          </w:p>
          <w:p w14:paraId="74C49430" w14:textId="77777777" w:rsidR="009D2105" w:rsidRPr="00D57DA7" w:rsidRDefault="009D2105" w:rsidP="009D2105">
            <w:pPr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D57DA7">
              <w:rPr>
                <w:sz w:val="20"/>
                <w:szCs w:val="20"/>
              </w:rPr>
              <w:t>Stedman’s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Medical</w:t>
            </w:r>
            <w:proofErr w:type="spellEnd"/>
            <w:r w:rsidRPr="00D57DA7">
              <w:rPr>
                <w:sz w:val="20"/>
                <w:szCs w:val="20"/>
              </w:rPr>
              <w:t xml:space="preserve"> Dictionary 2002</w:t>
            </w:r>
          </w:p>
          <w:p w14:paraId="5D71C4B9" w14:textId="3475DA11" w:rsidR="00BF21E3" w:rsidRPr="00D57DA7" w:rsidRDefault="009D2105" w:rsidP="009D2105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57DA7">
              <w:rPr>
                <w:sz w:val="20"/>
                <w:szCs w:val="20"/>
              </w:rPr>
              <w:t>Materiały naukowe pochodzące ze światowych źródeł medycznych</w:t>
            </w:r>
          </w:p>
          <w:p w14:paraId="42D07B97" w14:textId="7CFEFE61" w:rsidR="00BF21E3" w:rsidRPr="00D57DA7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Pr="00D57DA7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Pr="00D57DA7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Pr="00D57DA7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D57DA7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1E51911D" w:rsidR="0069789F" w:rsidRPr="00D57DA7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  </w:t>
      </w:r>
      <w:r w:rsidR="00D37C1F" w:rsidRPr="00D57DA7">
        <w:rPr>
          <w:b/>
          <w:color w:val="000000" w:themeColor="text1"/>
        </w:rPr>
        <w:t xml:space="preserve">12. </w:t>
      </w:r>
      <w:r w:rsidR="0045753C" w:rsidRPr="00D57DA7">
        <w:rPr>
          <w:b/>
          <w:color w:val="000000" w:themeColor="text1"/>
        </w:rPr>
        <w:t>REGULAMIN ZAJĘĆ</w:t>
      </w:r>
      <w:r w:rsidR="00D37C1F" w:rsidRPr="00D57DA7">
        <w:rPr>
          <w:b/>
          <w:color w:val="000000" w:themeColor="text1"/>
        </w:rPr>
        <w:t xml:space="preserve"> </w:t>
      </w:r>
      <w:r w:rsidR="0069789F" w:rsidRPr="00D57DA7">
        <w:rPr>
          <w:b/>
          <w:color w:val="000000" w:themeColor="text1"/>
        </w:rPr>
        <w:t>(k</w:t>
      </w:r>
      <w:r w:rsidR="0045753C" w:rsidRPr="00D57DA7">
        <w:rPr>
          <w:b/>
          <w:color w:val="000000" w:themeColor="text1"/>
        </w:rPr>
        <w:t>oordynator ustala wspólny regulamin</w:t>
      </w:r>
      <w:r w:rsidR="0069789F" w:rsidRPr="00D57DA7">
        <w:rPr>
          <w:b/>
          <w:color w:val="000000" w:themeColor="text1"/>
        </w:rPr>
        <w:t>)</w:t>
      </w:r>
    </w:p>
    <w:p w14:paraId="2A0F958F" w14:textId="77777777" w:rsidR="0069789F" w:rsidRPr="00D57DA7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D57DA7" w:rsidRDefault="000E65EC" w:rsidP="0045753C">
      <w:pPr>
        <w:spacing w:line="238" w:lineRule="auto"/>
        <w:rPr>
          <w:b/>
          <w:color w:val="000000" w:themeColor="text1"/>
        </w:rPr>
      </w:pPr>
    </w:p>
    <w:p w14:paraId="788FA258" w14:textId="77777777" w:rsidR="00C93D2B" w:rsidRPr="00D57DA7" w:rsidRDefault="00950A0C" w:rsidP="00C93D2B">
      <w:pPr>
        <w:widowControl w:val="0"/>
        <w:spacing w:line="276" w:lineRule="auto"/>
        <w:contextualSpacing/>
        <w:jc w:val="both"/>
        <w:rPr>
          <w:b/>
          <w:u w:val="single"/>
        </w:rPr>
      </w:pPr>
      <w:r w:rsidRPr="00D57DA7">
        <w:rPr>
          <w:b/>
          <w:color w:val="000000" w:themeColor="text1"/>
        </w:rPr>
        <w:t xml:space="preserve">    </w:t>
      </w:r>
      <w:r w:rsidR="00C93D2B" w:rsidRPr="00D57DA7">
        <w:rPr>
          <w:b/>
          <w:u w:val="single"/>
        </w:rPr>
        <w:t>Regulamin Studium Języków Obcych UMP 2017/2018</w:t>
      </w:r>
    </w:p>
    <w:p w14:paraId="3953F771" w14:textId="77777777" w:rsidR="00C93D2B" w:rsidRPr="00D57DA7" w:rsidRDefault="00C93D2B" w:rsidP="00C93D2B">
      <w:pPr>
        <w:widowControl w:val="0"/>
        <w:spacing w:line="276" w:lineRule="auto"/>
        <w:contextualSpacing/>
        <w:jc w:val="both"/>
        <w:rPr>
          <w:rFonts w:eastAsia="Arial"/>
          <w:sz w:val="22"/>
          <w:szCs w:val="22"/>
        </w:rPr>
      </w:pPr>
    </w:p>
    <w:p w14:paraId="65486C1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Regulamin określa szczegółowe zasady zaliczeń zgodnie z postanowieniami Regulaminu Studiów Uniwersytetu Medycznego im. Karola Marcinkowskiego w Poznaniu.</w:t>
      </w:r>
    </w:p>
    <w:p w14:paraId="26667CA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Zasady uzyskiwania zaliczeń w SJO dotyczą studiów pierwszego i drugiego stopnia oraz jednolitych studiów magisterskich.</w:t>
      </w:r>
    </w:p>
    <w:p w14:paraId="44C7E5A9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Studium Języków Obcych UMP prowadzi zajęcia z języków nowożytnych i języka łacińskiego zgodnie z programem studiów obowiązującym na danym kierunku. Przedmiotem nauczania jest język specjalistyczny, dostosowany do potrzeb zawodowych przyszłych absolwentów.</w:t>
      </w:r>
    </w:p>
    <w:p w14:paraId="43C24E9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Lektorat kończy się zaliczeniem z oceną lub zaliczeniem z oceną i egzaminem, w zależności od nauczanego języka oraz kierunku studiów. Student jest zobowiązany do zaliczenia roku studiów najpóźniej do końca danego roku akademickiego.</w:t>
      </w:r>
    </w:p>
    <w:p w14:paraId="104D3080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Posiadanie certyfikatu z języka obcego lub oceny z lektoratu otrzymanej na innej uczelni nie zwalnia z uczestnictwa w lektoracie. W przypadku Studentów, którzy otrzymali zaliczenie z lektoratu na innym kierunku UMP wymagane jest złożenie podania do Dziekana danego Wydziału, który po zaopiniowaniu przez Kierownika SJO, podejmuje decyzję o ewentualnym zwolnieniu z uczestnictwa w lektoracie lub o przepisaniu oceny.</w:t>
      </w:r>
    </w:p>
    <w:p w14:paraId="7C4A62D5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lastRenderedPageBreak/>
        <w:t>Zgodę na tzw. Indywidualny Tok Studiów z lektoratu otrzymuje się od Dziekana  po zasięgnięciu opinii Kierownika SJO.</w:t>
      </w:r>
    </w:p>
    <w:p w14:paraId="4CBE7865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Zajęcia odbywają się w terminach wynikających z planu zajęć. Jakiekolwiek zmiany wymagają pisemnej zgody Kierownictwa SJO oraz przesłania informacji do Dziekanatu danego Wydziału. W trakcie lektoratu SJO nie gwarantuje ciągłości zajęć z tym samy lektorem; istnieje możliwość przeniesienia/przesunięcia studenta/studentów z jednej grupy o większej liczebności do innej, o mniejszej liczebności w czasie trwania kursu. </w:t>
      </w:r>
    </w:p>
    <w:p w14:paraId="421D8DA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Zajęcia w SJO zaliczane są wyłącznie na podstawie systemu punktów -  §27 Regulaminu Studiów UMP, który nie przewiduje możliwości poprawiania zdobytych punktów. Student może zdobyć max. 100 pkt. w całym roku akademickim. Punkty te obejmują formy pisemne, jak i ustne, uwzględniające komunikację z pacjentem i innymi pracownikami służby zdrowia, prezentację i/lub streszczenie artykułu. Szczegółowe ustalenia dotyczące sposobu uzyskiwania punktów dla każdego kierunku są zawarte w sylabusach.</w:t>
      </w:r>
    </w:p>
    <w:p w14:paraId="02CF82FB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Ujednolicone testy na danym kierunku zbudowane są w oparciu o te same typy ćwiczeń. O typach ćwiczeń decyduje koordynator metodyczny kierunku w porozumieniu z wykładowcami. </w:t>
      </w:r>
    </w:p>
    <w:p w14:paraId="6DE085B6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W przypadku NIEUSPRAWIEDLIWIONEJ nieobecności Studenta na teście, Student otrzymuje z niego 0 pkt. i nie ma możliwości poprawy.</w:t>
      </w:r>
    </w:p>
    <w:p w14:paraId="59768F9A" w14:textId="77777777" w:rsidR="00C93D2B" w:rsidRPr="00D57DA7" w:rsidRDefault="00C93D2B" w:rsidP="00C93D2B">
      <w:pPr>
        <w:spacing w:line="276" w:lineRule="auto"/>
        <w:ind w:left="820"/>
        <w:jc w:val="both"/>
        <w:rPr>
          <w:sz w:val="18"/>
          <w:szCs w:val="18"/>
        </w:rPr>
      </w:pPr>
      <w:r w:rsidRPr="00D57DA7">
        <w:t>a. To samo dotyczy NIEUSPRAWIEDLIWIONEJ nieobecności Studenta na innych komponentach sprawdzających wiedzę.</w:t>
      </w:r>
    </w:p>
    <w:p w14:paraId="346FFADC" w14:textId="77777777" w:rsidR="00C93D2B" w:rsidRPr="00D57DA7" w:rsidRDefault="00C93D2B" w:rsidP="00C93D2B">
      <w:pPr>
        <w:spacing w:line="276" w:lineRule="auto"/>
        <w:ind w:left="820"/>
        <w:jc w:val="both"/>
      </w:pPr>
      <w:r w:rsidRPr="00D57DA7">
        <w:t xml:space="preserve">b. W przypadku USPRAWIEDLIWIONEJ nieobecności, Student ma obowiązek przedstawienia usprawiedliwienia/zwolnienia swojemu Wykładowcy na pierwszych zajęciach po nieobecności - wówczas Student ma prawo podchodzić do danej formy sprawdzenia wiedzy w terminie wyznaczonym przez Wykładowcę. O formie i terminie testu decyduje koordynator kierunku. </w:t>
      </w:r>
    </w:p>
    <w:p w14:paraId="46F7A3B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Obowiązuje następująca skala punktowa ocen:</w:t>
      </w:r>
    </w:p>
    <w:p w14:paraId="254F61A5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poniżej 61 punktów = ocena 2,0</w:t>
      </w:r>
    </w:p>
    <w:p w14:paraId="7161AE16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61 punktów = ocena 3,0</w:t>
      </w:r>
    </w:p>
    <w:p w14:paraId="4B607635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69 punktów = ocena 3,5</w:t>
      </w:r>
    </w:p>
    <w:p w14:paraId="4EA39E9A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77 punktów = ocena 4,0</w:t>
      </w:r>
    </w:p>
    <w:p w14:paraId="7608617E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>od 85 punktów = ocena 4,5</w:t>
      </w:r>
    </w:p>
    <w:p w14:paraId="3A912007" w14:textId="77777777" w:rsidR="00C93D2B" w:rsidRPr="00D57DA7" w:rsidRDefault="00C93D2B" w:rsidP="00C93D2B">
      <w:pPr>
        <w:widowControl w:val="0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</w:pPr>
      <w:r w:rsidRPr="00D57DA7">
        <w:t xml:space="preserve">od 93 punktów = ocena 5,0 </w:t>
      </w:r>
    </w:p>
    <w:p w14:paraId="6C866CC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Student otrzymuje zaliczenie zajęć po zdobyciu min. 61 punktów, które obejmują wszystkie formy sprawdzenia wiedzy. Jeśli Student decyduje się nie podchodzić do zaliczania danego komponentu i zgłosi to uprzednio wykładowcy otrzymuje 0 pkt. bez możliwości poprawy.</w:t>
      </w:r>
    </w:p>
    <w:p w14:paraId="7C071B8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Student nie otrzymuje zaliczenia z powodu przekroczenia limitu dopuszczalnej liczby nieobecności. </w:t>
      </w:r>
    </w:p>
    <w:p w14:paraId="37B6F337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Ustala się dopuszczalny limit nieusprawiedliwionych nieobecności na zajęciach w wysokości 10%. Indywidualne przypadki losowe rozpatruje Kierownik SJO. W przypadku studiów niestacjonarnych (zaocznych) dopuszczalna liczba nieobecności – 1 zjazd.</w:t>
      </w:r>
    </w:p>
    <w:p w14:paraId="009D463F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lastRenderedPageBreak/>
        <w:t xml:space="preserve">W przypadku przekroczenia dopuszczalnego limitu nieobecności - wynoszącego 10% - o JEDNĄ nieobecność, Studentowi przysługuje prawo do testu wyjściowego, którego formę ustala Koordynator kierunku w porozumieniu z prowadzącymi zajęcia. </w:t>
      </w:r>
    </w:p>
    <w:p w14:paraId="2C9C9A62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 Ustala się próg zaliczenia testu wyjściowego na poziomie 61% pkt.</w:t>
      </w:r>
    </w:p>
    <w:p w14:paraId="0EDB5DA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Studenci, którzy nie zdobyli wymaganej liczby 61 punktów w ciągu roku, ale zdobyli min. 61% na teście wyjściowym otrzymują ocenę DOSTATECZNĄ z lektoratu niezależnie od oceny z testu wyjściowego.</w:t>
      </w:r>
    </w:p>
    <w:p w14:paraId="10A36EB3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W przypadku Studentów, którzy przekroczyli dopuszczalny limit 10% nieobecności maksymalnie o jedną nieobecność, a uzyskali w ciągu roku akademickiego 61 lub więcej punktów oraz zdobyli min. 61 % na teście wyjściowym, ocena z lektoratu jest wystawiana na podstawie punktów, które zdobyli w ciągu roku.</w:t>
      </w:r>
    </w:p>
    <w:p w14:paraId="68DA8142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Ocena końcowa z lektoratu jest równa:</w:t>
      </w:r>
    </w:p>
    <w:p w14:paraId="219DBA53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- średniej arytmetycznej w przypadku zaliczenia na ocenę,</w:t>
      </w:r>
    </w:p>
    <w:p w14:paraId="3B01CF2E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 xml:space="preserve">- średniej ważonej w przypadku egzaminu (zaliczenie I roku – waga 1, zaliczenie II roku – waga 1, egzamin ustny – waga 2, egzamin pisemny – waga 2). </w:t>
      </w:r>
    </w:p>
    <w:p w14:paraId="4F75E70F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Tak obliczoną średnią zaokrąglamy do drugiego miejsca po przecinku według poniższej zasady.</w:t>
      </w:r>
    </w:p>
    <w:p w14:paraId="792E11FF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Wystawiając oceny na podstawie średniej zaokrąglamy je do drugiego miejsca po przecinku zgodnie z zasadą: 5 i powyżej zaokrąglamy wzwyż, 1-4 zaokrąglamy w dół.</w:t>
      </w:r>
    </w:p>
    <w:p w14:paraId="777564E3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3,0-3,25 =  ocena końcowa 3,0</w:t>
      </w:r>
    </w:p>
    <w:p w14:paraId="6DAC3F0A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3,26-3,65 = ocena końcowa 3,5</w:t>
      </w:r>
    </w:p>
    <w:p w14:paraId="03FB561A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3,66-4,25 = ocena końcowa 4,0</w:t>
      </w:r>
    </w:p>
    <w:p w14:paraId="5C22D379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 4,26-4,65 = ocena końcowa 4,5</w:t>
      </w:r>
    </w:p>
    <w:p w14:paraId="3F17B35B" w14:textId="77777777" w:rsidR="00C93D2B" w:rsidRPr="00D57DA7" w:rsidRDefault="00C93D2B" w:rsidP="00C93D2B">
      <w:pPr>
        <w:widowControl w:val="0"/>
        <w:spacing w:line="276" w:lineRule="auto"/>
        <w:ind w:left="820"/>
        <w:jc w:val="both"/>
      </w:pPr>
      <w:r w:rsidRPr="00D57DA7">
        <w:t>dla przedziału ocen 4,66–5,00 = ocena końcowa 5,0</w:t>
      </w:r>
    </w:p>
    <w:p w14:paraId="0B488134" w14:textId="77777777" w:rsidR="00C93D2B" w:rsidRPr="00D57DA7" w:rsidRDefault="00C93D2B" w:rsidP="00C93D2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bookmarkStart w:id="1" w:name="_gjdgxs" w:colFirst="0" w:colLast="0"/>
      <w:bookmarkEnd w:id="1"/>
      <w:r w:rsidRPr="00D57DA7">
        <w:t>Egzamin składa się z części pisemnej i części ustnej. Egzamin pisemny odbywa się na platformie OLAT w CITK na ul. Parkowej 2 i zawiera typy ćwiczeń, z którymi studenci zostali zaznajomieni w trakcie lektoratu. Egzamin ustny składa się z odpowiedzi na zadany temat i/lub symulacji sytuacji komunikacyjnej z pacjentem i/lub innym pracownikiem służby zdrowia. Do egzaminu może przystąpić student, który uzyskał zaliczenie z lektoratu.</w:t>
      </w:r>
    </w:p>
    <w:p w14:paraId="779164E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>Student, który jest Finalistą Olimpiady „Język angielski w naukach medycznych” zostaje zwolniony z egzaminu końcowego, otrzymując z niego ocenę „bardzo dobry”. Jednocześnie nie zostaje zwolniony z uczestnictwa w lektoracie i wszystkich form sprawdzenia wiedzy. Zwolnienie nie dotyczy kierunków zakończonych egzaminem certyfikacyjnym.</w:t>
      </w:r>
    </w:p>
    <w:p w14:paraId="1FD80666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Student </w:t>
      </w:r>
      <w:r w:rsidRPr="00D57DA7">
        <w:rPr>
          <w:color w:val="000000" w:themeColor="text1"/>
        </w:rPr>
        <w:t xml:space="preserve">jest zwolniony </w:t>
      </w:r>
      <w:r w:rsidRPr="00D57DA7">
        <w:t xml:space="preserve">z egzaminu końcowego, jeśli zarówno po pierwszym, jak i po drugim roku lektoratu zdobędzie przynajmniej 93 pkt. Jednocześnie z egzaminu otrzymuje ocenę „bardzo dobry”. </w:t>
      </w:r>
    </w:p>
    <w:p w14:paraId="3D7A37DE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t xml:space="preserve">Na egzaminie Studentów obowiązuje strój formalny. </w:t>
      </w:r>
    </w:p>
    <w:p w14:paraId="14BE1E10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</w:pPr>
      <w:r w:rsidRPr="00D57DA7">
        <w:rPr>
          <w:color w:val="000000" w:themeColor="text1"/>
        </w:rPr>
        <w:t>Uczestnictwo w fakultetach reguluje § 14 Regulaminu studiów UMP.</w:t>
      </w:r>
    </w:p>
    <w:p w14:paraId="5C93FA31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  <w:rPr>
          <w:color w:val="000000" w:themeColor="text1"/>
        </w:rPr>
      </w:pPr>
      <w:r w:rsidRPr="00D57DA7">
        <w:rPr>
          <w:color w:val="000000" w:themeColor="text1"/>
        </w:rPr>
        <w:t>Do spraw wszczętych i niezakończonych przed dniem wejścia w życie niniejszego Regulaminu, jak również w stosunku do studentów będących już w trakcie realizacji kursu stosuje się przepisy dotychczasowe.</w:t>
      </w:r>
    </w:p>
    <w:p w14:paraId="33F2145A" w14:textId="77777777" w:rsidR="00C93D2B" w:rsidRPr="00D57DA7" w:rsidRDefault="00C93D2B" w:rsidP="00C93D2B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60"/>
        <w:contextualSpacing/>
        <w:jc w:val="both"/>
        <w:rPr>
          <w:color w:val="000000" w:themeColor="text1"/>
        </w:rPr>
      </w:pPr>
      <w:r w:rsidRPr="00D57DA7">
        <w:rPr>
          <w:color w:val="000000" w:themeColor="text1"/>
        </w:rPr>
        <w:lastRenderedPageBreak/>
        <w:t>Regulamin wchodzi w życie z dniem 15 września 2017 r.</w:t>
      </w:r>
    </w:p>
    <w:p w14:paraId="69037F68" w14:textId="77777777" w:rsidR="00C93D2B" w:rsidRPr="00D57DA7" w:rsidRDefault="00C93D2B" w:rsidP="00C93D2B">
      <w:pPr>
        <w:spacing w:line="276" w:lineRule="auto"/>
        <w:jc w:val="both"/>
        <w:rPr>
          <w:color w:val="000000" w:themeColor="text1"/>
        </w:rPr>
      </w:pPr>
    </w:p>
    <w:p w14:paraId="066F255E" w14:textId="676A6AC9" w:rsidR="0013702D" w:rsidRPr="00D57DA7" w:rsidRDefault="0013702D" w:rsidP="00C93D2B">
      <w:pPr>
        <w:spacing w:line="238" w:lineRule="auto"/>
        <w:rPr>
          <w:b/>
          <w:color w:val="003300"/>
        </w:rPr>
      </w:pPr>
      <w:r w:rsidRPr="00D57DA7">
        <w:rPr>
          <w:b/>
          <w:color w:val="003300"/>
        </w:rPr>
        <w:t xml:space="preserve">    </w:t>
      </w:r>
    </w:p>
    <w:p w14:paraId="0A606592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2F2550FB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Pr="00D57DA7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D57DA7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D57DA7" w:rsidRDefault="0069789F" w:rsidP="0069789F">
      <w:pPr>
        <w:jc w:val="both"/>
        <w:rPr>
          <w:b/>
          <w:color w:val="003300"/>
        </w:rPr>
      </w:pPr>
      <w:r w:rsidRPr="00D57DA7">
        <w:rPr>
          <w:b/>
          <w:color w:val="003300"/>
        </w:rPr>
        <w:t xml:space="preserve"> </w:t>
      </w:r>
      <w:r w:rsidR="00950A0C" w:rsidRPr="00D57DA7">
        <w:rPr>
          <w:b/>
          <w:color w:val="003300"/>
        </w:rPr>
        <w:t xml:space="preserve">  </w:t>
      </w:r>
      <w:r w:rsidRPr="00D57DA7">
        <w:rPr>
          <w:b/>
          <w:color w:val="003300"/>
        </w:rPr>
        <w:t xml:space="preserve"> </w:t>
      </w:r>
      <w:r w:rsidR="00D37C1F" w:rsidRPr="00D57DA7">
        <w:rPr>
          <w:b/>
          <w:color w:val="003300"/>
        </w:rPr>
        <w:t>13</w:t>
      </w:r>
      <w:r w:rsidRPr="00D57DA7">
        <w:rPr>
          <w:b/>
          <w:color w:val="003300"/>
        </w:rPr>
        <w:t xml:space="preserve">. </w:t>
      </w:r>
      <w:r w:rsidR="0013702D" w:rsidRPr="00D57DA7">
        <w:rPr>
          <w:b/>
          <w:color w:val="003300"/>
        </w:rPr>
        <w:t>Kryteria zaliczenia przedmiotu</w:t>
      </w:r>
      <w:r w:rsidRPr="00D57DA7">
        <w:rPr>
          <w:b/>
          <w:color w:val="003300"/>
        </w:rPr>
        <w:t>/modułu</w:t>
      </w:r>
    </w:p>
    <w:p w14:paraId="22C3EF63" w14:textId="2A8C1783" w:rsidR="0069789F" w:rsidRPr="00D57DA7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D57DA7">
        <w:rPr>
          <w:b/>
          <w:color w:val="000000" w:themeColor="text1"/>
        </w:rPr>
        <w:t xml:space="preserve">  </w:t>
      </w:r>
      <w:r w:rsidR="0069789F" w:rsidRPr="00D57DA7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D57DA7" w:rsidRDefault="0069789F" w:rsidP="008A6CC4">
      <w:pPr>
        <w:ind w:firstLine="708"/>
        <w:jc w:val="both"/>
        <w:rPr>
          <w:b/>
          <w:bCs/>
          <w:color w:val="003300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3B7C64" w:rsidRPr="00D57DA7" w14:paraId="77C2F519" w14:textId="77777777" w:rsidTr="007067CF">
        <w:trPr>
          <w:tblCellSpacing w:w="20" w:type="dxa"/>
        </w:trPr>
        <w:tc>
          <w:tcPr>
            <w:tcW w:w="8633" w:type="dxa"/>
          </w:tcPr>
          <w:p w14:paraId="54AF5E6C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 xml:space="preserve">Zaliczenie – kryterium zaliczenia poszczególnych bloków i całego modułu, formy zaliczenia </w:t>
            </w:r>
          </w:p>
          <w:p w14:paraId="66C63930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bCs/>
                <w:sz w:val="20"/>
                <w:szCs w:val="20"/>
              </w:rPr>
              <w:t>Kryterium zaliczenia: zdobycie przynajmniej 61 punktów w roku akademickim (testy oraz formy bieżącego sprawdzenia wiedzy)</w:t>
            </w:r>
            <w:r w:rsidRPr="00D57DA7">
              <w:rPr>
                <w:sz w:val="20"/>
                <w:szCs w:val="20"/>
              </w:rPr>
              <w:t xml:space="preserve">, opuszczenie maksymalnie 3 seminariów w ciągu roku akademickiego. Lektorat kończy się egzaminem pisemnym i ustnym po 4 semestrach na poziomie B2. </w:t>
            </w:r>
          </w:p>
          <w:p w14:paraId="5D8CCC1D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</w:p>
          <w:p w14:paraId="7D7F6107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>W roku akademickim odbywają się 4 testy o następującej punktacji: test 1: 20 pkt.(40 pytań); test 2 – TEST SEMESTRALNY: 25 pkt (50 pytań); test 3: 20 pkt. (40 pytań); test 4 – TEST SEMESTRALNY: 25 pkt. (50 pytań). Typy zadań obejmują: gramatykę (</w:t>
            </w:r>
            <w:proofErr w:type="spellStart"/>
            <w:r w:rsidRPr="00D57DA7">
              <w:rPr>
                <w:sz w:val="20"/>
                <w:szCs w:val="20"/>
              </w:rPr>
              <w:t>abcd</w:t>
            </w:r>
            <w:proofErr w:type="spellEnd"/>
            <w:r w:rsidRPr="00D57DA7">
              <w:rPr>
                <w:sz w:val="20"/>
                <w:szCs w:val="20"/>
              </w:rPr>
              <w:t xml:space="preserve">), parafrazy, słowotwórstwo, uzupełnianie luk i synonimy). W sumie na testach student może zdobyć 90 punktów. Pozostałe 10 punktów obejmuje inne formy sprawdzenia wiedzy. </w:t>
            </w:r>
            <w:r w:rsidRPr="00D57DA7">
              <w:rPr>
                <w:b/>
                <w:sz w:val="20"/>
                <w:szCs w:val="20"/>
                <w:u w:val="single"/>
              </w:rPr>
              <w:t>W czasie pierwszego roku trwania lektoratu</w:t>
            </w:r>
            <w:r w:rsidRPr="00D57DA7">
              <w:rPr>
                <w:sz w:val="20"/>
                <w:szCs w:val="20"/>
              </w:rPr>
              <w:t xml:space="preserve"> są to a. streszczenie artykułu (2pkt.), b. wypowiedź ustną obejmującą zebranie wywiadu i/lub wypowiedź na zadany temat (2 pkt.), c. pisanie obejmujące opis przypadku lub </w:t>
            </w:r>
            <w:proofErr w:type="spellStart"/>
            <w:r w:rsidRPr="00D57DA7">
              <w:rPr>
                <w:sz w:val="20"/>
                <w:szCs w:val="20"/>
              </w:rPr>
              <w:t>abstract</w:t>
            </w:r>
            <w:proofErr w:type="spellEnd"/>
            <w:r w:rsidRPr="00D57DA7">
              <w:rPr>
                <w:sz w:val="20"/>
                <w:szCs w:val="20"/>
              </w:rPr>
              <w:t xml:space="preserve"> (4 pkt.) oraz d. aktywność i przygotowanie do zajęć (2 pkt.). </w:t>
            </w:r>
            <w:r w:rsidRPr="00D57DA7">
              <w:rPr>
                <w:b/>
                <w:sz w:val="20"/>
                <w:szCs w:val="20"/>
                <w:u w:val="single"/>
              </w:rPr>
              <w:t>W czasie drugiego roku trwania lektoratu</w:t>
            </w:r>
            <w:r w:rsidRPr="00D57DA7">
              <w:rPr>
                <w:sz w:val="20"/>
                <w:szCs w:val="20"/>
              </w:rPr>
              <w:t xml:space="preserve">: a. prezentacja konferencyjna 4 pkt.; b. wypowiedź ustna - wywiad z pacjentem (2 pkt.); c. pisanie obejmujące opis przypadku lub </w:t>
            </w:r>
            <w:proofErr w:type="spellStart"/>
            <w:r w:rsidRPr="00D57DA7">
              <w:rPr>
                <w:sz w:val="20"/>
                <w:szCs w:val="20"/>
              </w:rPr>
              <w:t>abstract</w:t>
            </w:r>
            <w:proofErr w:type="spellEnd"/>
            <w:r w:rsidRPr="00D57DA7">
              <w:rPr>
                <w:sz w:val="20"/>
                <w:szCs w:val="20"/>
              </w:rPr>
              <w:t xml:space="preserve"> (2 pkt.) oraz d. aktywność i przygotowanie do zajęć (2 pkt.).</w:t>
            </w:r>
          </w:p>
          <w:p w14:paraId="1ABA4A59" w14:textId="77777777" w:rsidR="003B7C64" w:rsidRPr="00D57DA7" w:rsidRDefault="003B7C64" w:rsidP="007067C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3B7C64" w:rsidRPr="00D57DA7" w14:paraId="2F2C413B" w14:textId="77777777" w:rsidTr="007067CF">
        <w:trPr>
          <w:tblCellSpacing w:w="20" w:type="dxa"/>
        </w:trPr>
        <w:tc>
          <w:tcPr>
            <w:tcW w:w="8633" w:type="dxa"/>
          </w:tcPr>
          <w:p w14:paraId="0D41A5D7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Egzamin teoretyczny – kryterium zaliczenia, forma egzaminu (ustny, pisemny, testowy)</w:t>
            </w:r>
          </w:p>
          <w:p w14:paraId="2A83CFFF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Egzamin pisemny jest jednoetapowym egzaminem odbywającym się na platformie OLAT. Obejmuje następujące komponenty: a. gramatyka </w:t>
            </w:r>
            <w:proofErr w:type="spellStart"/>
            <w:r w:rsidRPr="00D57DA7">
              <w:rPr>
                <w:sz w:val="20"/>
                <w:szCs w:val="20"/>
              </w:rPr>
              <w:t>abcd</w:t>
            </w:r>
            <w:proofErr w:type="spellEnd"/>
            <w:r w:rsidRPr="00D57DA7">
              <w:rPr>
                <w:sz w:val="20"/>
                <w:szCs w:val="20"/>
              </w:rPr>
              <w:t xml:space="preserve"> = 30 pkt.; b. uzupełnianie luk obejmujących parafrazy, synonimy, wyrażenia etc. (podane są 1 litera oraz liczba liter w nawiasie) = 40 pkt.; c. słowotwórstwo = 30 pkt. </w:t>
            </w:r>
          </w:p>
          <w:p w14:paraId="1DCF2788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3B7C64" w:rsidRPr="00D57DA7" w14:paraId="38E2A9CA" w14:textId="77777777" w:rsidTr="007067CF">
        <w:trPr>
          <w:tblCellSpacing w:w="20" w:type="dxa"/>
        </w:trPr>
        <w:tc>
          <w:tcPr>
            <w:tcW w:w="8633" w:type="dxa"/>
          </w:tcPr>
          <w:p w14:paraId="4FCF5072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bCs/>
                <w:lang w:eastAsia="en-US"/>
              </w:rPr>
              <w:t>Egzamin praktyczny – kryterium zaliczenia</w:t>
            </w:r>
          </w:p>
          <w:p w14:paraId="5F4E0159" w14:textId="77777777" w:rsidR="003B7C64" w:rsidRPr="00D57DA7" w:rsidRDefault="003B7C64" w:rsidP="007067CF">
            <w:pPr>
              <w:pStyle w:val="Bezodstpw"/>
              <w:jc w:val="both"/>
              <w:rPr>
                <w:sz w:val="20"/>
                <w:szCs w:val="20"/>
              </w:rPr>
            </w:pPr>
            <w:r w:rsidRPr="00D57DA7">
              <w:rPr>
                <w:sz w:val="20"/>
                <w:szCs w:val="20"/>
              </w:rPr>
              <w:t xml:space="preserve">Egzamin ustny obejmuje przeprowadzenie wywiadu z pacjentem na podstawie wylosowanego przypadku chorobowego. Na egzaminie oceniana jest gramatyka, słownictwo, komunikatywność i płynność wypowiedzi wg. arkusza oceny odpowiedzi ustnej. Ocenie nie podlega wiedza medyczna studenta. Studenci podchodzą do egzaminu w parach. Losują jedno z zagadnień (np. Jan Kowalski, 42 lata, nauczyciel, mokry kaszel z gęstą wydzieliną od tygodnia, gorączka 38.5 o C od wczoraj, katar, zatkany nos, kłujący ból głowy. Rok temu zapalenie płuc. Alergia na pyłki i roztocza, przyjmuje leki antyhistaminowe. Pali 5 papierosów dziennie.) Każdy student odgrywa po kolei rolę lekarza i pacjenta. UWAGA: Informacje nie zawarte w roli, o które może zapytać lekarz, pozostawiamy inwencji Studentów. Następuje czas na przygotowanie się (ok. 5 minut). Należy stworzyć atmosferę modelowego gabinetu lekarskiego (przywitać się, przedstawić, pożegnać itp.), pamiętając o właściwym rejestrze językowym. Studenci przeprowadzają wywiad (co najmniej 15 pytań z zakresu: </w:t>
            </w:r>
            <w:proofErr w:type="spellStart"/>
            <w:r w:rsidRPr="00D57DA7">
              <w:rPr>
                <w:sz w:val="20"/>
                <w:szCs w:val="20"/>
              </w:rPr>
              <w:t>Presenting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Complaint</w:t>
            </w:r>
            <w:proofErr w:type="spellEnd"/>
            <w:r w:rsidRPr="00D57DA7">
              <w:rPr>
                <w:sz w:val="20"/>
                <w:szCs w:val="20"/>
              </w:rPr>
              <w:t xml:space="preserve">, Past </w:t>
            </w:r>
            <w:proofErr w:type="spellStart"/>
            <w:r w:rsidRPr="00D57DA7">
              <w:rPr>
                <w:sz w:val="20"/>
                <w:szCs w:val="20"/>
              </w:rPr>
              <w:t>Medical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 xml:space="preserve">, Family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 xml:space="preserve"> (</w:t>
            </w:r>
            <w:proofErr w:type="spellStart"/>
            <w:r w:rsidRPr="00D57DA7">
              <w:rPr>
                <w:sz w:val="20"/>
                <w:szCs w:val="20"/>
              </w:rPr>
              <w:t>if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applicable</w:t>
            </w:r>
            <w:proofErr w:type="spellEnd"/>
            <w:r w:rsidRPr="00D57DA7">
              <w:rPr>
                <w:sz w:val="20"/>
                <w:szCs w:val="20"/>
              </w:rPr>
              <w:t xml:space="preserve">), </w:t>
            </w:r>
            <w:proofErr w:type="spellStart"/>
            <w:r w:rsidRPr="00D57DA7">
              <w:rPr>
                <w:sz w:val="20"/>
                <w:szCs w:val="20"/>
              </w:rPr>
              <w:t>Social</w:t>
            </w:r>
            <w:proofErr w:type="spellEnd"/>
            <w:r w:rsidRPr="00D57DA7">
              <w:rPr>
                <w:sz w:val="20"/>
                <w:szCs w:val="20"/>
              </w:rPr>
              <w:t xml:space="preserve"> </w:t>
            </w:r>
            <w:proofErr w:type="spellStart"/>
            <w:r w:rsidRPr="00D57DA7">
              <w:rPr>
                <w:sz w:val="20"/>
                <w:szCs w:val="20"/>
              </w:rPr>
              <w:t>History</w:t>
            </w:r>
            <w:proofErr w:type="spellEnd"/>
            <w:r w:rsidRPr="00D57DA7">
              <w:rPr>
                <w:sz w:val="20"/>
                <w:szCs w:val="20"/>
              </w:rPr>
              <w:t>). Po przeprowadzeniu wywiadu, Student odgrywający rolę lekarza krótko podsumowuje przypadek, używając terminologii medycznej. Po zakończonym wywiadzie, następują pytania wg. uznania wykładowcy na podstawie materiału zrealizowanego na zajęciach (prośba o opis danego zabiegu, skierowanie na dalsze badania, umówienie na wizytę kontrolną etc.). Wypowiedź podlega ocenie na podstawie załączonego arkusza oceny. Czas trwania egzaminu - ok. 20-25 min. na parę.</w:t>
            </w:r>
          </w:p>
          <w:p w14:paraId="4E96AEAA" w14:textId="77777777" w:rsidR="003B7C64" w:rsidRPr="00D57DA7" w:rsidRDefault="003B7C64" w:rsidP="007067CF">
            <w:pPr>
              <w:tabs>
                <w:tab w:val="left" w:pos="5670"/>
              </w:tabs>
              <w:autoSpaceDE w:val="0"/>
              <w:jc w:val="both"/>
              <w:rPr>
                <w:sz w:val="20"/>
                <w:szCs w:val="20"/>
              </w:rPr>
            </w:pPr>
          </w:p>
          <w:p w14:paraId="05B788DA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D57DA7">
              <w:rPr>
                <w:b/>
                <w:sz w:val="22"/>
                <w:szCs w:val="22"/>
              </w:rPr>
              <w:lastRenderedPageBreak/>
              <w:t>UWAGA! Zgodnie z Regulaminem SJO, ocenę końcową z lektoratu stanowi średnia ważona z ocen z 1-go roku (waga 1), ocena z 2-go roku (waga 1), z egzaminu pisemnego (waga 2) oraz egzaminu ustnego (waga 2).</w:t>
            </w:r>
          </w:p>
          <w:p w14:paraId="6D09C58B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EC6819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A6251A3" w14:textId="77777777" w:rsidR="003B7C64" w:rsidRPr="00D57DA7" w:rsidRDefault="003B7C64" w:rsidP="007067C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23A427D2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6B985B1C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4EEC2760" w14:textId="77777777" w:rsidR="003B7C64" w:rsidRPr="00D57DA7" w:rsidRDefault="003B7C64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D57DA7" w:rsidRDefault="0013702D" w:rsidP="00E846C5">
      <w:pPr>
        <w:jc w:val="both"/>
        <w:rPr>
          <w:b/>
          <w:bCs/>
          <w:color w:val="0000FF"/>
        </w:rPr>
      </w:pPr>
    </w:p>
    <w:p w14:paraId="50D5C065" w14:textId="77777777" w:rsidR="0013702D" w:rsidRPr="00D57DA7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Pr="00D57DA7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 w:rsidRPr="00D57DA7"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RPr="00D57DA7" w14:paraId="78DC5E54" w14:textId="77777777" w:rsidTr="00E846C5">
        <w:tc>
          <w:tcPr>
            <w:tcW w:w="9000" w:type="dxa"/>
          </w:tcPr>
          <w:p w14:paraId="24192A21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Pr="00D57DA7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Pr="00D57DA7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D57DA7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D57DA7"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Pr="00D57DA7" w:rsidRDefault="0013702D" w:rsidP="00E846C5">
      <w:pPr>
        <w:jc w:val="both"/>
        <w:rPr>
          <w:b/>
          <w:bCs/>
        </w:rPr>
      </w:pPr>
    </w:p>
    <w:p w14:paraId="75692FF0" w14:textId="77777777" w:rsidR="0013702D" w:rsidRPr="00D57DA7" w:rsidRDefault="0013702D" w:rsidP="00E846C5">
      <w:pPr>
        <w:jc w:val="both"/>
        <w:rPr>
          <w:b/>
          <w:bCs/>
        </w:rPr>
      </w:pPr>
    </w:p>
    <w:p w14:paraId="5F610DE9" w14:textId="77777777" w:rsidR="0013702D" w:rsidRPr="00D57DA7" w:rsidRDefault="0013702D" w:rsidP="00E846C5">
      <w:pPr>
        <w:ind w:left="360"/>
        <w:jc w:val="both"/>
        <w:rPr>
          <w:b/>
          <w:bCs/>
          <w:color w:val="000000" w:themeColor="text1"/>
        </w:rPr>
      </w:pPr>
      <w:r w:rsidRPr="00D57DA7">
        <w:rPr>
          <w:b/>
          <w:color w:val="003300"/>
        </w:rPr>
        <w:t>15. Podpis osoby odpowiedzialnej za nauczanie przedmiotu lub koordynatora</w:t>
      </w:r>
      <w:r w:rsidR="00B636FA" w:rsidRPr="00D57DA7">
        <w:rPr>
          <w:b/>
          <w:color w:val="003300"/>
        </w:rPr>
        <w:t xml:space="preserve"> </w:t>
      </w:r>
      <w:r w:rsidR="00B636FA" w:rsidRPr="00D57DA7">
        <w:rPr>
          <w:b/>
          <w:color w:val="000000" w:themeColor="text1"/>
        </w:rPr>
        <w:t>modułu</w:t>
      </w:r>
    </w:p>
    <w:p w14:paraId="295F8A13" w14:textId="77777777" w:rsidR="0013702D" w:rsidRPr="00D57DA7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Pr="00D57DA7" w:rsidRDefault="0013702D" w:rsidP="00E846C5">
      <w:pPr>
        <w:jc w:val="both"/>
        <w:rPr>
          <w:b/>
          <w:bCs/>
        </w:rPr>
      </w:pPr>
    </w:p>
    <w:p w14:paraId="3B2C1CDD" w14:textId="77777777" w:rsidR="0013702D" w:rsidRPr="00D57DA7" w:rsidRDefault="0013702D" w:rsidP="00E846C5">
      <w:pPr>
        <w:jc w:val="both"/>
        <w:rPr>
          <w:b/>
          <w:bCs/>
        </w:rPr>
      </w:pPr>
    </w:p>
    <w:p w14:paraId="265C3117" w14:textId="77777777" w:rsidR="0013702D" w:rsidRPr="00D57DA7" w:rsidRDefault="0013702D" w:rsidP="00E846C5">
      <w:pPr>
        <w:jc w:val="both"/>
        <w:rPr>
          <w:b/>
          <w:bCs/>
        </w:rPr>
      </w:pPr>
    </w:p>
    <w:p w14:paraId="39D3FAED" w14:textId="77777777" w:rsidR="0013702D" w:rsidRPr="00D57DA7" w:rsidRDefault="0013702D" w:rsidP="00E846C5">
      <w:pPr>
        <w:ind w:left="360"/>
        <w:jc w:val="both"/>
        <w:rPr>
          <w:b/>
          <w:strike/>
          <w:color w:val="003300"/>
        </w:rPr>
      </w:pPr>
      <w:r w:rsidRPr="00D57DA7">
        <w:rPr>
          <w:b/>
          <w:color w:val="003300"/>
        </w:rPr>
        <w:t xml:space="preserve">16. Podpisy osób współodpowiedzialnych za nauczanie </w:t>
      </w:r>
      <w:r w:rsidRPr="00D57DA7">
        <w:rPr>
          <w:b/>
          <w:color w:val="000000" w:themeColor="text1"/>
        </w:rPr>
        <w:t>przedmiotu</w:t>
      </w:r>
      <w:r w:rsidR="00B636FA" w:rsidRPr="00D57DA7">
        <w:rPr>
          <w:b/>
          <w:color w:val="000000" w:themeColor="text1"/>
        </w:rPr>
        <w:t>/modułu</w:t>
      </w:r>
      <w:r w:rsidRPr="00D57DA7">
        <w:rPr>
          <w:b/>
          <w:color w:val="000000" w:themeColor="text1"/>
        </w:rPr>
        <w:t xml:space="preserve"> </w:t>
      </w:r>
    </w:p>
    <w:p w14:paraId="144E1916" w14:textId="77777777" w:rsidR="0013702D" w:rsidRPr="00D57DA7" w:rsidRDefault="0013702D" w:rsidP="00E846C5"/>
    <w:p w14:paraId="1325234F" w14:textId="77777777" w:rsidR="0013702D" w:rsidRPr="00D57DA7" w:rsidRDefault="0013702D" w:rsidP="00E846C5"/>
    <w:p w14:paraId="12C837AA" w14:textId="77777777" w:rsidR="0013702D" w:rsidRPr="00D57DA7" w:rsidRDefault="0013702D" w:rsidP="00E846C5"/>
    <w:p w14:paraId="260C1D72" w14:textId="77777777" w:rsidR="0013702D" w:rsidRPr="00D57DA7" w:rsidRDefault="0045753C" w:rsidP="00E846C5">
      <w:pPr>
        <w:ind w:left="360"/>
        <w:jc w:val="both"/>
        <w:rPr>
          <w:b/>
          <w:color w:val="003300"/>
        </w:rPr>
      </w:pPr>
      <w:r w:rsidRPr="00D57DA7">
        <w:rPr>
          <w:b/>
          <w:color w:val="003300"/>
        </w:rPr>
        <w:t>UWAGA:</w:t>
      </w:r>
      <w:r w:rsidR="0013702D" w:rsidRPr="00D57DA7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Pr="00D57DA7" w:rsidRDefault="0013702D" w:rsidP="00E846C5"/>
    <w:p w14:paraId="583CDFBA" w14:textId="77777777" w:rsidR="0013702D" w:rsidRPr="00D57DA7" w:rsidRDefault="0013702D" w:rsidP="00E846C5"/>
    <w:p w14:paraId="325FC793" w14:textId="77777777" w:rsidR="0013702D" w:rsidRPr="00D57DA7" w:rsidRDefault="0013702D"/>
    <w:sectPr w:rsidR="0013702D" w:rsidRPr="00D57DA7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8CFBF" w14:textId="77777777" w:rsidR="00363A49" w:rsidRDefault="00363A49" w:rsidP="00FF41DA">
      <w:r>
        <w:separator/>
      </w:r>
    </w:p>
  </w:endnote>
  <w:endnote w:type="continuationSeparator" w:id="0">
    <w:p w14:paraId="5D2DD14B" w14:textId="77777777" w:rsidR="00363A49" w:rsidRDefault="00363A49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90FE" w14:textId="77777777" w:rsidR="00C93D2B" w:rsidRDefault="00C93D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B2B02">
      <w:rPr>
        <w:noProof/>
      </w:rPr>
      <w:t>1</w:t>
    </w:r>
    <w:r>
      <w:fldChar w:fldCharType="end"/>
    </w:r>
  </w:p>
  <w:p w14:paraId="103B68F2" w14:textId="77777777" w:rsidR="00C93D2B" w:rsidRDefault="00C93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4F84B" w14:textId="77777777" w:rsidR="00363A49" w:rsidRDefault="00363A49" w:rsidP="00FF41DA">
      <w:r>
        <w:separator/>
      </w:r>
    </w:p>
  </w:footnote>
  <w:footnote w:type="continuationSeparator" w:id="0">
    <w:p w14:paraId="7A24CB1A" w14:textId="77777777" w:rsidR="00363A49" w:rsidRDefault="00363A49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317C3"/>
    <w:multiLevelType w:val="hybridMultilevel"/>
    <w:tmpl w:val="64E4F4B8"/>
    <w:lvl w:ilvl="0" w:tplc="DB107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E3B8B"/>
    <w:multiLevelType w:val="hybridMultilevel"/>
    <w:tmpl w:val="3AECF0AA"/>
    <w:lvl w:ilvl="0" w:tplc="5512F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B3459"/>
    <w:multiLevelType w:val="multilevel"/>
    <w:tmpl w:val="680ACADC"/>
    <w:lvl w:ilvl="0">
      <w:start w:val="1"/>
      <w:numFmt w:val="decimal"/>
      <w:lvlText w:val="%1."/>
      <w:lvlJc w:val="left"/>
      <w:pPr>
        <w:ind w:left="820" w:firstLine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F0AD3"/>
    <w:multiLevelType w:val="hybridMultilevel"/>
    <w:tmpl w:val="EB20DBFA"/>
    <w:lvl w:ilvl="0" w:tplc="A55C5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7776"/>
    <w:multiLevelType w:val="hybridMultilevel"/>
    <w:tmpl w:val="024095CC"/>
    <w:lvl w:ilvl="0" w:tplc="395E4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FF3897"/>
    <w:multiLevelType w:val="hybridMultilevel"/>
    <w:tmpl w:val="AAB200D4"/>
    <w:lvl w:ilvl="0" w:tplc="036ECC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C2D88"/>
    <w:multiLevelType w:val="hybridMultilevel"/>
    <w:tmpl w:val="DCB00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2"/>
  </w:num>
  <w:num w:numId="16">
    <w:abstractNumId w:val="19"/>
  </w:num>
  <w:num w:numId="17">
    <w:abstractNumId w:val="16"/>
  </w:num>
  <w:num w:numId="18">
    <w:abstractNumId w:val="4"/>
  </w:num>
  <w:num w:numId="19">
    <w:abstractNumId w:val="9"/>
  </w:num>
  <w:num w:numId="20">
    <w:abstractNumId w:val="15"/>
  </w:num>
  <w:num w:numId="21">
    <w:abstractNumId w:val="5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59"/>
    <w:rsid w:val="00002757"/>
    <w:rsid w:val="000072D1"/>
    <w:rsid w:val="00024F7C"/>
    <w:rsid w:val="00053CDA"/>
    <w:rsid w:val="00067F26"/>
    <w:rsid w:val="000948CE"/>
    <w:rsid w:val="00096782"/>
    <w:rsid w:val="000E2E04"/>
    <w:rsid w:val="000E65EC"/>
    <w:rsid w:val="00125BEC"/>
    <w:rsid w:val="0013702D"/>
    <w:rsid w:val="00150259"/>
    <w:rsid w:val="001C0886"/>
    <w:rsid w:val="001D4B84"/>
    <w:rsid w:val="00262311"/>
    <w:rsid w:val="00263ED9"/>
    <w:rsid w:val="00287DAC"/>
    <w:rsid w:val="00293370"/>
    <w:rsid w:val="002942E7"/>
    <w:rsid w:val="002B289A"/>
    <w:rsid w:val="002C0686"/>
    <w:rsid w:val="00363A49"/>
    <w:rsid w:val="003865A3"/>
    <w:rsid w:val="0039144B"/>
    <w:rsid w:val="00397C8E"/>
    <w:rsid w:val="003B7C64"/>
    <w:rsid w:val="003E47CE"/>
    <w:rsid w:val="003F4142"/>
    <w:rsid w:val="003F4203"/>
    <w:rsid w:val="00426BD3"/>
    <w:rsid w:val="0043492A"/>
    <w:rsid w:val="0045753C"/>
    <w:rsid w:val="00461591"/>
    <w:rsid w:val="004753CB"/>
    <w:rsid w:val="00476C46"/>
    <w:rsid w:val="0048174E"/>
    <w:rsid w:val="004C5DCD"/>
    <w:rsid w:val="004C774E"/>
    <w:rsid w:val="004D16AE"/>
    <w:rsid w:val="004D3A00"/>
    <w:rsid w:val="005338F3"/>
    <w:rsid w:val="0056717B"/>
    <w:rsid w:val="00573601"/>
    <w:rsid w:val="00575DA1"/>
    <w:rsid w:val="00576057"/>
    <w:rsid w:val="005C7A5F"/>
    <w:rsid w:val="005E3FF7"/>
    <w:rsid w:val="00600AC9"/>
    <w:rsid w:val="00673135"/>
    <w:rsid w:val="0069789F"/>
    <w:rsid w:val="006B1A2A"/>
    <w:rsid w:val="006B581E"/>
    <w:rsid w:val="006F5B0B"/>
    <w:rsid w:val="007121DC"/>
    <w:rsid w:val="00712371"/>
    <w:rsid w:val="00714543"/>
    <w:rsid w:val="00723227"/>
    <w:rsid w:val="007519BB"/>
    <w:rsid w:val="00770C55"/>
    <w:rsid w:val="007945B6"/>
    <w:rsid w:val="007A6A1E"/>
    <w:rsid w:val="007D003C"/>
    <w:rsid w:val="007E6D38"/>
    <w:rsid w:val="007F6BF2"/>
    <w:rsid w:val="007F7CA7"/>
    <w:rsid w:val="008662EA"/>
    <w:rsid w:val="008A6CC4"/>
    <w:rsid w:val="008B4E2B"/>
    <w:rsid w:val="00902127"/>
    <w:rsid w:val="00950530"/>
    <w:rsid w:val="00950A0C"/>
    <w:rsid w:val="009D2105"/>
    <w:rsid w:val="009D7D66"/>
    <w:rsid w:val="009E21EE"/>
    <w:rsid w:val="00A269CE"/>
    <w:rsid w:val="00A67176"/>
    <w:rsid w:val="00AC47EA"/>
    <w:rsid w:val="00AC528C"/>
    <w:rsid w:val="00B115C2"/>
    <w:rsid w:val="00B3324D"/>
    <w:rsid w:val="00B636FA"/>
    <w:rsid w:val="00B66672"/>
    <w:rsid w:val="00B8009C"/>
    <w:rsid w:val="00B855B6"/>
    <w:rsid w:val="00B904B7"/>
    <w:rsid w:val="00BB2B02"/>
    <w:rsid w:val="00BE4DDF"/>
    <w:rsid w:val="00BF21E3"/>
    <w:rsid w:val="00C20BAA"/>
    <w:rsid w:val="00C5665B"/>
    <w:rsid w:val="00C64510"/>
    <w:rsid w:val="00C6561F"/>
    <w:rsid w:val="00C93D2B"/>
    <w:rsid w:val="00CA10C2"/>
    <w:rsid w:val="00CA7DB9"/>
    <w:rsid w:val="00CB300C"/>
    <w:rsid w:val="00CB7A2B"/>
    <w:rsid w:val="00CC387F"/>
    <w:rsid w:val="00CD4895"/>
    <w:rsid w:val="00CF174D"/>
    <w:rsid w:val="00D37C1F"/>
    <w:rsid w:val="00D52197"/>
    <w:rsid w:val="00D57DA7"/>
    <w:rsid w:val="00D84F82"/>
    <w:rsid w:val="00DE761C"/>
    <w:rsid w:val="00DF5BDF"/>
    <w:rsid w:val="00E104FF"/>
    <w:rsid w:val="00E846C5"/>
    <w:rsid w:val="00F1161C"/>
    <w:rsid w:val="00F9602A"/>
    <w:rsid w:val="00FA1E0A"/>
    <w:rsid w:val="00FC438E"/>
    <w:rsid w:val="00FC4464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B7C64"/>
    <w:pPr>
      <w:suppressAutoHyphens/>
    </w:pPr>
    <w:rPr>
      <w:rFonts w:ascii="Times New Roman" w:hAnsi="Times New Roman"/>
      <w:sz w:val="24"/>
      <w:szCs w:val="24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B7C64"/>
    <w:pPr>
      <w:suppressAutoHyphens/>
    </w:pPr>
    <w:rPr>
      <w:rFonts w:ascii="Times New Roman" w:hAnsi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3810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2018-06-06T08:05:00Z</dcterms:created>
  <dcterms:modified xsi:type="dcterms:W3CDTF">2018-06-06T08:05:00Z</dcterms:modified>
</cp:coreProperties>
</file>