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C5" w:rsidRDefault="00336CC5" w:rsidP="00336CC5">
      <w:pPr>
        <w:jc w:val="center"/>
        <w:rPr>
          <w:b/>
          <w:u w:val="single"/>
        </w:rPr>
      </w:pPr>
      <w:r w:rsidRPr="00E0410C">
        <w:rPr>
          <w:b/>
          <w:u w:val="single"/>
        </w:rPr>
        <w:t>FA</w:t>
      </w:r>
      <w:r w:rsidR="009E19CA">
        <w:rPr>
          <w:b/>
          <w:u w:val="single"/>
        </w:rPr>
        <w:t>RMAKOPEA – FARMACJA EGZAMIN 2019</w:t>
      </w:r>
    </w:p>
    <w:p w:rsidR="00A50AA1" w:rsidRPr="00A50AA1" w:rsidRDefault="00A50AA1" w:rsidP="00A50AA1">
      <w:pPr>
        <w:rPr>
          <w:b/>
        </w:rPr>
      </w:pPr>
      <w:r w:rsidRPr="00A50AA1">
        <w:rPr>
          <w:b/>
        </w:rPr>
        <w:t>ANTYBIOTYK</w:t>
      </w:r>
    </w:p>
    <w:tbl>
      <w:tblPr>
        <w:tblStyle w:val="TableGrid"/>
        <w:tblW w:w="0" w:type="auto"/>
        <w:tblLook w:val="04A0" w:firstRow="1" w:lastRow="0" w:firstColumn="1" w:lastColumn="0" w:noHBand="0" w:noVBand="1"/>
      </w:tblPr>
      <w:tblGrid>
        <w:gridCol w:w="1816"/>
        <w:gridCol w:w="7246"/>
      </w:tblGrid>
      <w:tr w:rsidR="00A50AA1" w:rsidRPr="00E84D4F" w:rsidTr="005C0004">
        <w:tc>
          <w:tcPr>
            <w:tcW w:w="1816" w:type="dxa"/>
          </w:tcPr>
          <w:p w:rsidR="00A50AA1" w:rsidRPr="00E84D4F" w:rsidRDefault="00A50AA1" w:rsidP="005C0004">
            <w:pPr>
              <w:rPr>
                <w:b/>
              </w:rPr>
            </w:pPr>
            <w:r>
              <w:rPr>
                <w:b/>
              </w:rPr>
              <w:t>DUOMOX</w:t>
            </w:r>
          </w:p>
        </w:tc>
        <w:tc>
          <w:tcPr>
            <w:tcW w:w="7246" w:type="dxa"/>
          </w:tcPr>
          <w:p w:rsidR="00A50AA1" w:rsidRPr="00E84D4F" w:rsidRDefault="00A50AA1" w:rsidP="005C0004">
            <w:pPr>
              <w:rPr>
                <w:b/>
              </w:rPr>
            </w:pPr>
            <w:r>
              <w:rPr>
                <w:b/>
              </w:rPr>
              <w:t>Antybiotyk bakteriobójczy o szerokim spektrum</w:t>
            </w:r>
          </w:p>
        </w:tc>
      </w:tr>
      <w:tr w:rsidR="00A50AA1" w:rsidTr="005C0004">
        <w:tc>
          <w:tcPr>
            <w:tcW w:w="1816" w:type="dxa"/>
          </w:tcPr>
          <w:p w:rsidR="00A50AA1" w:rsidRDefault="00A50AA1" w:rsidP="005C0004">
            <w:r>
              <w:t>Postać /skład</w:t>
            </w:r>
          </w:p>
        </w:tc>
        <w:tc>
          <w:tcPr>
            <w:tcW w:w="7246" w:type="dxa"/>
          </w:tcPr>
          <w:p w:rsidR="00A50AA1" w:rsidRDefault="00A50AA1" w:rsidP="005C0004">
            <w:r>
              <w:t>Tabletki 250 mg, amoksycylina</w:t>
            </w:r>
          </w:p>
        </w:tc>
      </w:tr>
      <w:tr w:rsidR="00A50AA1" w:rsidTr="005C0004">
        <w:tc>
          <w:tcPr>
            <w:tcW w:w="1816" w:type="dxa"/>
          </w:tcPr>
          <w:p w:rsidR="00A50AA1" w:rsidRDefault="00A50AA1" w:rsidP="005C0004">
            <w:r>
              <w:t>Wskazania</w:t>
            </w:r>
          </w:p>
        </w:tc>
        <w:tc>
          <w:tcPr>
            <w:tcW w:w="7246" w:type="dxa"/>
          </w:tcPr>
          <w:p w:rsidR="00A50AA1" w:rsidRDefault="00A50AA1" w:rsidP="005C0004">
            <w:r w:rsidRPr="002E51CC">
              <w:t>Zakażenia wywołane przez wrażliwe na antybiotyk szczepy bakterii: zakażenia górnych i dolnych dróg oddechowych, zakażenia dróg moczowych, skóry i tkanek miękkich, zakażenia żołądkowo-jelitowe, niepowikłana rzeżączka.</w:t>
            </w:r>
          </w:p>
        </w:tc>
      </w:tr>
      <w:tr w:rsidR="00A50AA1" w:rsidTr="005C0004">
        <w:tc>
          <w:tcPr>
            <w:tcW w:w="1816" w:type="dxa"/>
          </w:tcPr>
          <w:p w:rsidR="00A50AA1" w:rsidRDefault="00A50AA1" w:rsidP="005C0004">
            <w:r>
              <w:t>Dawkowanie</w:t>
            </w:r>
          </w:p>
        </w:tc>
        <w:tc>
          <w:tcPr>
            <w:tcW w:w="7246" w:type="dxa"/>
          </w:tcPr>
          <w:p w:rsidR="00A50AA1" w:rsidRDefault="00A50AA1" w:rsidP="005C0004">
            <w:r w:rsidRPr="002E51CC">
              <w:t>&gt;Doustnie. Preparat można przyjmować  niezależnie od posiłku. Tabletki można ssać, połykać w całości lub po rozkruszeniu, można także wypijać zawiesinę powstałą po rozpuszczeniu tabletek w wodzie.</w:t>
            </w:r>
            <w:r>
              <w:t xml:space="preserve"> </w:t>
            </w:r>
            <w:r w:rsidRPr="002E51CC">
              <w:t>Zwykle stosowana dawka leku Duomox u dorosłych i dzieci wynosi od 25 do 50 mg/kg masy ciała</w:t>
            </w:r>
            <w:r>
              <w:t xml:space="preserve"> na dobę w dawkach podzielonych 2 lub 3 razy na dobę.</w:t>
            </w:r>
          </w:p>
        </w:tc>
      </w:tr>
      <w:tr w:rsidR="00A50AA1" w:rsidTr="005C0004">
        <w:tc>
          <w:tcPr>
            <w:tcW w:w="1816" w:type="dxa"/>
          </w:tcPr>
          <w:p w:rsidR="00A50AA1" w:rsidRDefault="00A50AA1" w:rsidP="005C0004">
            <w:r>
              <w:t>Działania niepożądane</w:t>
            </w:r>
          </w:p>
        </w:tc>
        <w:tc>
          <w:tcPr>
            <w:tcW w:w="7246" w:type="dxa"/>
          </w:tcPr>
          <w:p w:rsidR="00A50AA1" w:rsidRDefault="00A50AA1" w:rsidP="005C0004">
            <w:r w:rsidRPr="002E51CC">
              <w:t>&gt;Odczyny alergiczne o charakterze pokrzywki lub zmiany plamkowo-grudkowe. Podczas stosowania amoksycyliny przez dłuższy czas może wystąpić nadmierny rozwój niewrażliwych szczepów bakteryjnych lub grzybów. Bardzo rzadko w czasie leczenia amoksycyliną mogą wystąpić ciężkie objawy nadwrażliwości w postaci reakcji anafilaktycznej. Pacjenci, u których biegunka wystąpiła podczas stosowania antybiotyku lub wkrótce po jego odstawieniu, nie powinni sami jej leczyć, lecz zwrócić się do lekarza.</w:t>
            </w:r>
          </w:p>
        </w:tc>
      </w:tr>
      <w:tr w:rsidR="00A50AA1" w:rsidTr="005C0004">
        <w:tc>
          <w:tcPr>
            <w:tcW w:w="1816" w:type="dxa"/>
          </w:tcPr>
          <w:p w:rsidR="00A50AA1" w:rsidRDefault="00A50AA1" w:rsidP="005C0004">
            <w:r>
              <w:t>Środki ostrożności</w:t>
            </w:r>
          </w:p>
        </w:tc>
        <w:tc>
          <w:tcPr>
            <w:tcW w:w="7246" w:type="dxa"/>
          </w:tcPr>
          <w:p w:rsidR="00A50AA1" w:rsidRDefault="00A50AA1" w:rsidP="005C0004">
            <w:r w:rsidRPr="002E51CC">
              <w:t>Przyjmuj lek regularnie, zgodnie z ustaloną przez lekarza dawką i przez okres, jaki zalecił Ci lekarz.</w:t>
            </w:r>
            <w:r>
              <w:t xml:space="preserve"> </w:t>
            </w:r>
            <w:r w:rsidRPr="002E51CC">
              <w:t>Lek ten został przepisany przez lekarza prowadzącego celem leczenia konkretnego schorzenia. Nie należy go odstępować innym osobom ani używać w innych okolicznościach bez konsultacji z lekarzem.</w:t>
            </w:r>
          </w:p>
        </w:tc>
      </w:tr>
      <w:tr w:rsidR="00A50AA1" w:rsidTr="005C0004">
        <w:tc>
          <w:tcPr>
            <w:tcW w:w="1816" w:type="dxa"/>
          </w:tcPr>
          <w:p w:rsidR="00A50AA1" w:rsidRDefault="00A50AA1" w:rsidP="005C0004">
            <w:r>
              <w:t>Przeciwwskazania</w:t>
            </w:r>
          </w:p>
        </w:tc>
        <w:tc>
          <w:tcPr>
            <w:tcW w:w="7246" w:type="dxa"/>
          </w:tcPr>
          <w:p w:rsidR="00A50AA1" w:rsidRDefault="00A50AA1" w:rsidP="005C0004">
            <w:r w:rsidRPr="002E51CC">
              <w:t>Gdy jesteś uczulony na amoksycylinę lub inne antybiotyki beta-laktamowe (penicyliny, cefalosporyny), masz chore nerki, przebyłeś ciężkie choroby przewodu pokarmowego (w szczególności zapalenie jelita grubego).</w:t>
            </w:r>
            <w:r>
              <w:t xml:space="preserve"> </w:t>
            </w:r>
            <w:r w:rsidRPr="002E51CC">
              <w:t>Należy poinformować lekarza o pozostałych, przyjmowanych preparatach, nawet o tych dostępnych bez recepty.   Gdy jesteś w ciąży lub przypuszczasz, że jesteś w ciąży, a także gdy karmisz piersią.</w:t>
            </w:r>
          </w:p>
        </w:tc>
      </w:tr>
    </w:tbl>
    <w:p w:rsidR="00A50AA1" w:rsidRPr="00E0410C" w:rsidRDefault="00A50AA1" w:rsidP="00A50AA1">
      <w:pPr>
        <w:rPr>
          <w:b/>
          <w:u w:val="single"/>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CE4351" w:rsidRPr="00E0410C" w:rsidRDefault="00CE4351" w:rsidP="00FE1FB5">
      <w:pPr>
        <w:rPr>
          <w:b/>
        </w:rPr>
      </w:pPr>
      <w:r w:rsidRPr="00E0410C">
        <w:rPr>
          <w:b/>
        </w:rPr>
        <w:lastRenderedPageBreak/>
        <w:t xml:space="preserve">PREPARATY STOSOWANE </w:t>
      </w:r>
      <w:r w:rsidR="00336CC5" w:rsidRPr="00E0410C">
        <w:rPr>
          <w:b/>
        </w:rPr>
        <w:t>W PRZYPADKU</w:t>
      </w:r>
      <w:r w:rsidRPr="00E0410C">
        <w:rPr>
          <w:b/>
        </w:rPr>
        <w:t xml:space="preserve"> KASZLU</w:t>
      </w:r>
    </w:p>
    <w:tbl>
      <w:tblPr>
        <w:tblStyle w:val="TableGrid"/>
        <w:tblW w:w="0" w:type="auto"/>
        <w:tblLook w:val="04A0" w:firstRow="1" w:lastRow="0" w:firstColumn="1" w:lastColumn="0" w:noHBand="0" w:noVBand="1"/>
      </w:tblPr>
      <w:tblGrid>
        <w:gridCol w:w="1816"/>
        <w:gridCol w:w="8527"/>
      </w:tblGrid>
      <w:tr w:rsidR="00CE4351" w:rsidRPr="00E0410C" w:rsidTr="0023637F">
        <w:tc>
          <w:tcPr>
            <w:tcW w:w="1816" w:type="dxa"/>
          </w:tcPr>
          <w:p w:rsidR="00CE4351" w:rsidRPr="00E0410C" w:rsidRDefault="00CE4351" w:rsidP="0023637F">
            <w:pPr>
              <w:rPr>
                <w:b/>
              </w:rPr>
            </w:pPr>
            <w:r w:rsidRPr="00E0410C">
              <w:rPr>
                <w:b/>
              </w:rPr>
              <w:t>SINECOD</w:t>
            </w:r>
          </w:p>
        </w:tc>
        <w:tc>
          <w:tcPr>
            <w:tcW w:w="8527" w:type="dxa"/>
          </w:tcPr>
          <w:p w:rsidR="00CE4351" w:rsidRPr="00E0410C" w:rsidRDefault="00CE4351" w:rsidP="0023637F">
            <w:pPr>
              <w:rPr>
                <w:b/>
              </w:rPr>
            </w:pPr>
            <w:r w:rsidRPr="00E0410C">
              <w:rPr>
                <w:b/>
              </w:rPr>
              <w:t>przeciwkaszlowy</w:t>
            </w:r>
          </w:p>
        </w:tc>
      </w:tr>
      <w:tr w:rsidR="00CE4351" w:rsidRPr="00E0410C" w:rsidTr="0023637F">
        <w:tc>
          <w:tcPr>
            <w:tcW w:w="1816" w:type="dxa"/>
          </w:tcPr>
          <w:p w:rsidR="00CE4351" w:rsidRPr="00E0410C" w:rsidRDefault="00CE4351" w:rsidP="0023637F">
            <w:r w:rsidRPr="00E0410C">
              <w:t>Postać /skład</w:t>
            </w:r>
          </w:p>
        </w:tc>
        <w:tc>
          <w:tcPr>
            <w:tcW w:w="8527" w:type="dxa"/>
          </w:tcPr>
          <w:p w:rsidR="00CE4351" w:rsidRPr="00E0410C" w:rsidRDefault="00CE4351" w:rsidP="0023637F">
            <w:r w:rsidRPr="00E0410C">
              <w:t>krople</w:t>
            </w:r>
          </w:p>
        </w:tc>
      </w:tr>
      <w:tr w:rsidR="00CE4351" w:rsidRPr="00E0410C" w:rsidTr="0023637F">
        <w:tc>
          <w:tcPr>
            <w:tcW w:w="1816" w:type="dxa"/>
          </w:tcPr>
          <w:p w:rsidR="00CE4351" w:rsidRPr="00E0410C" w:rsidRDefault="00CE4351" w:rsidP="0023637F">
            <w:r w:rsidRPr="00E0410C">
              <w:t>Wskazania</w:t>
            </w:r>
          </w:p>
        </w:tc>
        <w:tc>
          <w:tcPr>
            <w:tcW w:w="8527" w:type="dxa"/>
          </w:tcPr>
          <w:p w:rsidR="00CE4351" w:rsidRPr="00E0410C" w:rsidRDefault="00CE4351" w:rsidP="0023637F">
            <w:r w:rsidRPr="00E0410C">
              <w:t>Suchy, męczący kaszel różnego pochodzenia.</w:t>
            </w:r>
          </w:p>
        </w:tc>
      </w:tr>
      <w:tr w:rsidR="00CE4351" w:rsidRPr="00E0410C" w:rsidTr="0023637F">
        <w:tc>
          <w:tcPr>
            <w:tcW w:w="1816" w:type="dxa"/>
          </w:tcPr>
          <w:p w:rsidR="00CE4351" w:rsidRPr="00E0410C" w:rsidRDefault="00CE4351" w:rsidP="0023637F">
            <w:r w:rsidRPr="00E0410C">
              <w:t>Dawkowanie</w:t>
            </w:r>
          </w:p>
        </w:tc>
        <w:tc>
          <w:tcPr>
            <w:tcW w:w="8527" w:type="dxa"/>
          </w:tcPr>
          <w:p w:rsidR="00CE4351" w:rsidRPr="00E0410C" w:rsidRDefault="00CE4351" w:rsidP="0023637F">
            <w:r w:rsidRPr="00E0410C">
              <w:t>Krople: dzieci w wieku od 2 miesięcy do ukończenia pierwszego roku życia: 10 kropli 4 razy na dobę; dzieci po ukończeniu 1. roku życia do 3 lat: 15 kropli 4 razy na dobę, dzieci w wieku powyżej 3 lat: 25 kropli 4 razy na dobę.</w:t>
            </w:r>
          </w:p>
        </w:tc>
      </w:tr>
      <w:tr w:rsidR="00CE4351" w:rsidRPr="00E0410C" w:rsidTr="0023637F">
        <w:tc>
          <w:tcPr>
            <w:tcW w:w="1816" w:type="dxa"/>
          </w:tcPr>
          <w:p w:rsidR="00CE4351" w:rsidRPr="00E0410C" w:rsidRDefault="00CE4351" w:rsidP="0023637F">
            <w:r w:rsidRPr="00E0410C">
              <w:t>Działania niepożądane</w:t>
            </w:r>
          </w:p>
        </w:tc>
        <w:tc>
          <w:tcPr>
            <w:tcW w:w="8527" w:type="dxa"/>
          </w:tcPr>
          <w:p w:rsidR="00CE4351" w:rsidRPr="00E0410C" w:rsidRDefault="00CE4351" w:rsidP="0023637F">
            <w:r w:rsidRPr="00E0410C">
              <w:t>Rzadko obserwowano: wysypki skórne, nudności, biegunkę, zawroty głowy. Objawy te ustępowały po zmniejszeniu dawki lub po odstawieniu preparatu. Występowanie po zastosowaniu leku takich działań niepożądanych jak np. senność stwarza niebezpieczeństwo związane z prowadzeniem pojazdów oraz obsługą maszyn.</w:t>
            </w:r>
          </w:p>
        </w:tc>
      </w:tr>
      <w:tr w:rsidR="00CE4351" w:rsidRPr="00E0410C" w:rsidTr="0023637F">
        <w:tc>
          <w:tcPr>
            <w:tcW w:w="1816" w:type="dxa"/>
          </w:tcPr>
          <w:p w:rsidR="00CE4351" w:rsidRPr="00E0410C" w:rsidRDefault="00CE4351" w:rsidP="0023637F">
            <w:r w:rsidRPr="00E0410C">
              <w:t>Środki ostrożności</w:t>
            </w:r>
          </w:p>
        </w:tc>
        <w:tc>
          <w:tcPr>
            <w:tcW w:w="8527" w:type="dxa"/>
          </w:tcPr>
          <w:p w:rsidR="00CE4351" w:rsidRPr="00E0410C" w:rsidRDefault="00CE4351" w:rsidP="0023637F">
            <w:r w:rsidRPr="00E0410C">
              <w:t>Nie należy stosować leku po terminie ważności.</w:t>
            </w:r>
          </w:p>
        </w:tc>
      </w:tr>
      <w:tr w:rsidR="00CE4351" w:rsidRPr="00E0410C" w:rsidTr="0023637F">
        <w:tc>
          <w:tcPr>
            <w:tcW w:w="1816" w:type="dxa"/>
          </w:tcPr>
          <w:p w:rsidR="00CE4351" w:rsidRPr="00E0410C" w:rsidRDefault="00CE4351" w:rsidP="0023637F">
            <w:r w:rsidRPr="00E0410C">
              <w:t>Przeciwwskazania</w:t>
            </w:r>
          </w:p>
        </w:tc>
        <w:tc>
          <w:tcPr>
            <w:tcW w:w="8527" w:type="dxa"/>
          </w:tcPr>
          <w:p w:rsidR="00CE4351" w:rsidRPr="00E0410C" w:rsidRDefault="00CE4351" w:rsidP="0023637F">
            <w:r w:rsidRPr="00E0410C">
              <w:t>Leku Sinecod krople nie należy stosować u dzieci poniżej 2. miesiąca życia. Nie zaleca się stosowania w I trymestrze ciąży, w II i III trymestrze ciąży stosować jedynie w przypadku konieczności. Należy unikać stosowania preparatu w okresie karmienia piersią.</w:t>
            </w:r>
          </w:p>
        </w:tc>
      </w:tr>
      <w:tr w:rsidR="00CE4351" w:rsidRPr="00E0410C" w:rsidTr="0023637F">
        <w:tc>
          <w:tcPr>
            <w:tcW w:w="1816" w:type="dxa"/>
          </w:tcPr>
          <w:p w:rsidR="00CE4351" w:rsidRPr="00E0410C" w:rsidRDefault="00CE4351" w:rsidP="0023637F">
            <w:pPr>
              <w:rPr>
                <w:b/>
              </w:rPr>
            </w:pPr>
            <w:r w:rsidRPr="00E0410C">
              <w:rPr>
                <w:b/>
              </w:rPr>
              <w:t>HERBITUSSIN</w:t>
            </w:r>
          </w:p>
        </w:tc>
        <w:tc>
          <w:tcPr>
            <w:tcW w:w="8527" w:type="dxa"/>
          </w:tcPr>
          <w:p w:rsidR="00CE4351" w:rsidRPr="00E0410C" w:rsidRDefault="00CE4351" w:rsidP="0023637F">
            <w:pPr>
              <w:rPr>
                <w:b/>
              </w:rPr>
            </w:pPr>
            <w:r w:rsidRPr="00E0410C">
              <w:rPr>
                <w:b/>
              </w:rPr>
              <w:t xml:space="preserve">Kaszel, ból gardła </w:t>
            </w:r>
          </w:p>
        </w:tc>
      </w:tr>
      <w:tr w:rsidR="00CE4351" w:rsidRPr="00E0410C" w:rsidTr="0023637F">
        <w:tc>
          <w:tcPr>
            <w:tcW w:w="1816" w:type="dxa"/>
          </w:tcPr>
          <w:p w:rsidR="00CE4351" w:rsidRPr="00E0410C" w:rsidRDefault="00CE4351" w:rsidP="0023637F">
            <w:r w:rsidRPr="00E0410C">
              <w:t>Postać / skład</w:t>
            </w:r>
          </w:p>
        </w:tc>
        <w:tc>
          <w:tcPr>
            <w:tcW w:w="8527" w:type="dxa"/>
          </w:tcPr>
          <w:p w:rsidR="00CE4351" w:rsidRPr="00E0410C" w:rsidRDefault="00CE4351" w:rsidP="0023637F">
            <w:r w:rsidRPr="00E0410C">
              <w:t>Pastylki do ssania; lukrecja, babka, jeżyna, mięta, rumianek, bez czarny, lipa, krwawnik, miód</w:t>
            </w:r>
          </w:p>
        </w:tc>
      </w:tr>
      <w:tr w:rsidR="00CE4351" w:rsidRPr="00E0410C" w:rsidTr="0023637F">
        <w:tc>
          <w:tcPr>
            <w:tcW w:w="1816" w:type="dxa"/>
          </w:tcPr>
          <w:p w:rsidR="00CE4351" w:rsidRPr="00E0410C" w:rsidRDefault="00CE4351" w:rsidP="0023637F">
            <w:r w:rsidRPr="00E0410C">
              <w:t>Wskazania</w:t>
            </w:r>
          </w:p>
        </w:tc>
        <w:tc>
          <w:tcPr>
            <w:tcW w:w="8527" w:type="dxa"/>
          </w:tcPr>
          <w:p w:rsidR="00CE4351" w:rsidRPr="00E0410C" w:rsidRDefault="00CE4351" w:rsidP="0023637F">
            <w:r w:rsidRPr="00E0410C">
              <w:t>W celu złagodzenia kaszlu i uczucia dyskomfortu gardła.</w:t>
            </w:r>
          </w:p>
        </w:tc>
      </w:tr>
      <w:tr w:rsidR="00CE4351" w:rsidRPr="00E0410C" w:rsidTr="0023637F">
        <w:tc>
          <w:tcPr>
            <w:tcW w:w="1816" w:type="dxa"/>
          </w:tcPr>
          <w:p w:rsidR="00CE4351" w:rsidRPr="00E0410C" w:rsidRDefault="00CE4351" w:rsidP="0023637F">
            <w:r w:rsidRPr="00E0410C">
              <w:t>Dawkowanie</w:t>
            </w:r>
          </w:p>
        </w:tc>
        <w:tc>
          <w:tcPr>
            <w:tcW w:w="8527" w:type="dxa"/>
          </w:tcPr>
          <w:p w:rsidR="00CE4351" w:rsidRPr="00E0410C" w:rsidRDefault="00CE4351" w:rsidP="0023637F">
            <w:r w:rsidRPr="00E0410C">
              <w:t>&gt;Doustnie. Maksymalnie 3 pastylki dziennie. Ssać do rozpuszczenia.</w:t>
            </w:r>
          </w:p>
        </w:tc>
      </w:tr>
      <w:tr w:rsidR="00CE4351" w:rsidRPr="00E0410C" w:rsidTr="0023637F">
        <w:tc>
          <w:tcPr>
            <w:tcW w:w="1816" w:type="dxa"/>
          </w:tcPr>
          <w:p w:rsidR="00CE4351" w:rsidRPr="00E0410C" w:rsidRDefault="00CE4351" w:rsidP="0023637F">
            <w:r w:rsidRPr="00E0410C">
              <w:t>Działania niepożądane</w:t>
            </w:r>
          </w:p>
        </w:tc>
        <w:tc>
          <w:tcPr>
            <w:tcW w:w="8527" w:type="dxa"/>
          </w:tcPr>
          <w:p w:rsidR="00CE4351" w:rsidRPr="00E0410C" w:rsidRDefault="00CE4351" w:rsidP="0023637F">
            <w:r w:rsidRPr="00E0410C">
              <w:t xml:space="preserve">Brak </w:t>
            </w:r>
          </w:p>
        </w:tc>
      </w:tr>
      <w:tr w:rsidR="00CE4351" w:rsidRPr="00E0410C" w:rsidTr="0023637F">
        <w:tc>
          <w:tcPr>
            <w:tcW w:w="1816" w:type="dxa"/>
          </w:tcPr>
          <w:p w:rsidR="00CE4351" w:rsidRPr="00E0410C" w:rsidRDefault="00CE4351" w:rsidP="0023637F">
            <w:r w:rsidRPr="00E0410C">
              <w:t>Środki ostrożności</w:t>
            </w:r>
          </w:p>
        </w:tc>
        <w:tc>
          <w:tcPr>
            <w:tcW w:w="8527" w:type="dxa"/>
          </w:tcPr>
          <w:p w:rsidR="00CE4351" w:rsidRPr="00E0410C" w:rsidRDefault="00CE4351" w:rsidP="0023637F">
            <w:r w:rsidRPr="00E0410C">
              <w:t>Nie należy przekraczać zalecanej do spożycia porcji w ciągu dnia. Nie należy go stosować po terminie ważności.</w:t>
            </w:r>
          </w:p>
        </w:tc>
      </w:tr>
      <w:tr w:rsidR="00CE4351" w:rsidRPr="00E0410C" w:rsidTr="0023637F">
        <w:tc>
          <w:tcPr>
            <w:tcW w:w="1816" w:type="dxa"/>
          </w:tcPr>
          <w:p w:rsidR="00CE4351" w:rsidRPr="00E0410C" w:rsidRDefault="00CE4351" w:rsidP="0023637F">
            <w:r w:rsidRPr="00E0410C">
              <w:t>Przeciwwskazania</w:t>
            </w:r>
          </w:p>
        </w:tc>
        <w:tc>
          <w:tcPr>
            <w:tcW w:w="8527" w:type="dxa"/>
          </w:tcPr>
          <w:p w:rsidR="00CE4351" w:rsidRPr="00E0410C" w:rsidRDefault="00CE4351" w:rsidP="0023637F">
            <w:r w:rsidRPr="00E0410C">
              <w:t>Brak</w:t>
            </w:r>
          </w:p>
        </w:tc>
      </w:tr>
      <w:tr w:rsidR="00CE4351" w:rsidRPr="00E0410C" w:rsidTr="0023637F">
        <w:tc>
          <w:tcPr>
            <w:tcW w:w="1816" w:type="dxa"/>
          </w:tcPr>
          <w:p w:rsidR="00CE4351" w:rsidRPr="00E0410C" w:rsidRDefault="00CE4351" w:rsidP="0023637F">
            <w:pPr>
              <w:rPr>
                <w:b/>
              </w:rPr>
            </w:pPr>
            <w:r w:rsidRPr="00E0410C">
              <w:rPr>
                <w:b/>
              </w:rPr>
              <w:t>MUCOSOLVAN</w:t>
            </w:r>
          </w:p>
        </w:tc>
        <w:tc>
          <w:tcPr>
            <w:tcW w:w="8527" w:type="dxa"/>
          </w:tcPr>
          <w:p w:rsidR="00CE4351" w:rsidRPr="00E0410C" w:rsidRDefault="00CE4351" w:rsidP="0023637F">
            <w:pPr>
              <w:rPr>
                <w:b/>
              </w:rPr>
            </w:pPr>
            <w:r w:rsidRPr="00E0410C">
              <w:rPr>
                <w:b/>
              </w:rPr>
              <w:t>Kaszel</w:t>
            </w:r>
          </w:p>
        </w:tc>
      </w:tr>
      <w:tr w:rsidR="00CE4351" w:rsidRPr="00E0410C" w:rsidTr="0023637F">
        <w:tc>
          <w:tcPr>
            <w:tcW w:w="1816" w:type="dxa"/>
          </w:tcPr>
          <w:p w:rsidR="00CE4351" w:rsidRPr="00E0410C" w:rsidRDefault="00CE4351" w:rsidP="0023637F">
            <w:r w:rsidRPr="00E0410C">
              <w:t>Postać / skład</w:t>
            </w:r>
          </w:p>
        </w:tc>
        <w:tc>
          <w:tcPr>
            <w:tcW w:w="8527" w:type="dxa"/>
          </w:tcPr>
          <w:p w:rsidR="00CE4351" w:rsidRPr="00E0410C" w:rsidRDefault="00CE4351" w:rsidP="0023637F">
            <w:r w:rsidRPr="00E0410C">
              <w:t>Syrop; chlorowodorek ambroksolu</w:t>
            </w:r>
          </w:p>
        </w:tc>
      </w:tr>
      <w:tr w:rsidR="00CE4351" w:rsidRPr="00E0410C" w:rsidTr="0023637F">
        <w:tc>
          <w:tcPr>
            <w:tcW w:w="1816" w:type="dxa"/>
          </w:tcPr>
          <w:p w:rsidR="00CE4351" w:rsidRPr="00E0410C" w:rsidRDefault="00CE4351" w:rsidP="0023637F">
            <w:r w:rsidRPr="00E0410C">
              <w:t>Wskazania</w:t>
            </w:r>
          </w:p>
        </w:tc>
        <w:tc>
          <w:tcPr>
            <w:tcW w:w="8527" w:type="dxa"/>
          </w:tcPr>
          <w:p w:rsidR="00CE4351" w:rsidRPr="00E0410C" w:rsidRDefault="00CE4351" w:rsidP="0023637F">
            <w:r w:rsidRPr="00E0410C">
              <w:t>Ostre i przewlekłe choroby płuc i oskrzeli, przebiegające z utrudnieniem odkrztuszania lepkiej wydzieliny w drogach oddechowych.</w:t>
            </w:r>
          </w:p>
        </w:tc>
      </w:tr>
      <w:tr w:rsidR="00CE4351" w:rsidRPr="00E0410C" w:rsidTr="0023637F">
        <w:tc>
          <w:tcPr>
            <w:tcW w:w="1816" w:type="dxa"/>
          </w:tcPr>
          <w:p w:rsidR="00CE4351" w:rsidRPr="00E0410C" w:rsidRDefault="00CE4351" w:rsidP="0023637F">
            <w:r w:rsidRPr="00E0410C">
              <w:t>Dawkowanie</w:t>
            </w:r>
          </w:p>
        </w:tc>
        <w:tc>
          <w:tcPr>
            <w:tcW w:w="8527" w:type="dxa"/>
          </w:tcPr>
          <w:p w:rsidR="00CE4351" w:rsidRPr="00E0410C" w:rsidRDefault="00CE4351" w:rsidP="0023637F">
            <w:r w:rsidRPr="00E0410C">
              <w:t xml:space="preserve">&gt;Doustnie. Syrop: dorośli i dzieci powyżej 12 roku życia -10 ml (2 łyżeczki od herbaty) 2 razy dziennie, dzieci 6-12 rok życia - 5 ml 2-3 razy dziennie, 2-6 rok życia - 2,5 ml 3 razy dziennie, 1-2 rok życia - 2,5 ml 2 razy dziennie. </w:t>
            </w:r>
          </w:p>
        </w:tc>
      </w:tr>
      <w:tr w:rsidR="00CE4351" w:rsidRPr="00E0410C" w:rsidTr="0023637F">
        <w:tc>
          <w:tcPr>
            <w:tcW w:w="1816" w:type="dxa"/>
          </w:tcPr>
          <w:p w:rsidR="00CE4351" w:rsidRPr="00E0410C" w:rsidRDefault="00CE4351" w:rsidP="0023637F">
            <w:r w:rsidRPr="00E0410C">
              <w:t>Działania niepożądane</w:t>
            </w:r>
          </w:p>
        </w:tc>
        <w:tc>
          <w:tcPr>
            <w:tcW w:w="8527" w:type="dxa"/>
          </w:tcPr>
          <w:p w:rsidR="00CE4351" w:rsidRPr="00E0410C" w:rsidRDefault="00CE4351" w:rsidP="0023637F">
            <w:r w:rsidRPr="00E0410C">
              <w:t>&gt;Łagodne zaburzenia ze strony przewodu pokarmowego (zgaga, niestrawność, sporadycznie nudności i wymioty, zaparcia), trudności w oddawaniu moczu. Rzadko reakcje alergiczne.</w:t>
            </w:r>
          </w:p>
        </w:tc>
      </w:tr>
      <w:tr w:rsidR="00CE4351" w:rsidRPr="00E0410C" w:rsidTr="0023637F">
        <w:tc>
          <w:tcPr>
            <w:tcW w:w="1816" w:type="dxa"/>
          </w:tcPr>
          <w:p w:rsidR="00CE4351" w:rsidRPr="00E0410C" w:rsidRDefault="00CE4351" w:rsidP="0023637F">
            <w:r w:rsidRPr="00E0410C">
              <w:t>Środki ostrożności</w:t>
            </w:r>
          </w:p>
        </w:tc>
        <w:tc>
          <w:tcPr>
            <w:tcW w:w="8527" w:type="dxa"/>
          </w:tcPr>
          <w:p w:rsidR="00CE4351" w:rsidRPr="00E0410C" w:rsidRDefault="00CE4351" w:rsidP="0023637F">
            <w:r w:rsidRPr="00E0410C">
              <w:t>Lek przyjmować po posiłku. Preparatu nie stosować bezpośrednio przed snem.</w:t>
            </w:r>
          </w:p>
        </w:tc>
      </w:tr>
      <w:tr w:rsidR="00CE4351" w:rsidRPr="00E0410C" w:rsidTr="0023637F">
        <w:tc>
          <w:tcPr>
            <w:tcW w:w="1816" w:type="dxa"/>
          </w:tcPr>
          <w:p w:rsidR="00CE4351" w:rsidRPr="00E0410C" w:rsidRDefault="00CE4351" w:rsidP="0023637F">
            <w:r w:rsidRPr="00E0410C">
              <w:t>Przeciwwskazania</w:t>
            </w:r>
          </w:p>
        </w:tc>
        <w:tc>
          <w:tcPr>
            <w:tcW w:w="8527" w:type="dxa"/>
          </w:tcPr>
          <w:p w:rsidR="00CE4351" w:rsidRPr="00E0410C" w:rsidRDefault="00CE4351" w:rsidP="0023637F">
            <w:r w:rsidRPr="00E0410C">
              <w:t>W ciąży stosować jedynie w przypadku zdecydowanej konieczności.  Ambroksol przenika do mleka kobiecego. Nie zaleca się stosowania ambroksolu u kobiet karmiących piersią.</w:t>
            </w:r>
          </w:p>
        </w:tc>
      </w:tr>
    </w:tbl>
    <w:p w:rsidR="00CE4351" w:rsidRPr="00E0410C" w:rsidRDefault="00CE4351" w:rsidP="00FE1FB5">
      <w:pPr>
        <w:rPr>
          <w:b/>
        </w:rPr>
      </w:pPr>
    </w:p>
    <w:p w:rsidR="00893CA8" w:rsidRDefault="00893CA8" w:rsidP="00FE1FB5">
      <w:pPr>
        <w:rPr>
          <w:b/>
        </w:rPr>
      </w:pPr>
    </w:p>
    <w:p w:rsidR="005C0004" w:rsidRDefault="005C0004" w:rsidP="00FE1FB5">
      <w:pPr>
        <w:rPr>
          <w:b/>
        </w:rPr>
      </w:pPr>
    </w:p>
    <w:p w:rsidR="00DB784A" w:rsidRDefault="00DB784A" w:rsidP="00FE1FB5">
      <w:pPr>
        <w:rPr>
          <w:b/>
        </w:rPr>
      </w:pPr>
    </w:p>
    <w:p w:rsidR="00DB784A" w:rsidRDefault="00DB784A" w:rsidP="00FE1FB5">
      <w:pPr>
        <w:rPr>
          <w:b/>
        </w:rPr>
      </w:pPr>
    </w:p>
    <w:p w:rsidR="00DB784A" w:rsidRDefault="00DB784A" w:rsidP="00FE1FB5">
      <w:pPr>
        <w:rPr>
          <w:b/>
        </w:rPr>
      </w:pPr>
    </w:p>
    <w:p w:rsidR="00DB784A" w:rsidRDefault="00DB784A" w:rsidP="00FE1FB5">
      <w:pPr>
        <w:rPr>
          <w:b/>
        </w:rPr>
      </w:pPr>
    </w:p>
    <w:p w:rsidR="00DB784A" w:rsidRDefault="00DB784A" w:rsidP="00FE1FB5">
      <w:pPr>
        <w:rPr>
          <w:b/>
        </w:rPr>
      </w:pPr>
    </w:p>
    <w:p w:rsidR="00DB784A" w:rsidRDefault="00DB784A" w:rsidP="00FE1FB5">
      <w:pPr>
        <w:rPr>
          <w:b/>
        </w:rPr>
      </w:pPr>
    </w:p>
    <w:p w:rsidR="00C96875" w:rsidRPr="00E0410C" w:rsidRDefault="00FE1FB5" w:rsidP="00FE1FB5">
      <w:pPr>
        <w:rPr>
          <w:b/>
        </w:rPr>
      </w:pPr>
      <w:r w:rsidRPr="00E0410C">
        <w:rPr>
          <w:b/>
        </w:rPr>
        <w:lastRenderedPageBreak/>
        <w:t>PREPARATY PRZECIWBÓLOWE / PRZECIWZAPALNE / ROZKURCZOWE</w:t>
      </w:r>
    </w:p>
    <w:tbl>
      <w:tblPr>
        <w:tblStyle w:val="TableGrid"/>
        <w:tblW w:w="10485" w:type="dxa"/>
        <w:tblLook w:val="04A0" w:firstRow="1" w:lastRow="0" w:firstColumn="1" w:lastColumn="0" w:noHBand="0" w:noVBand="1"/>
      </w:tblPr>
      <w:tblGrid>
        <w:gridCol w:w="1816"/>
        <w:gridCol w:w="8669"/>
      </w:tblGrid>
      <w:tr w:rsidR="00FE1FB5" w:rsidRPr="00E0410C" w:rsidTr="0023637F">
        <w:tc>
          <w:tcPr>
            <w:tcW w:w="1816" w:type="dxa"/>
          </w:tcPr>
          <w:p w:rsidR="00FE1FB5" w:rsidRPr="00E0410C" w:rsidRDefault="00FE1FB5" w:rsidP="0023637F">
            <w:pPr>
              <w:rPr>
                <w:b/>
              </w:rPr>
            </w:pPr>
            <w:r w:rsidRPr="00E0410C">
              <w:rPr>
                <w:b/>
              </w:rPr>
              <w:t>IBUM</w:t>
            </w:r>
          </w:p>
        </w:tc>
        <w:tc>
          <w:tcPr>
            <w:tcW w:w="8669" w:type="dxa"/>
          </w:tcPr>
          <w:p w:rsidR="00FE1FB5" w:rsidRPr="00E0410C" w:rsidRDefault="00FE1FB5" w:rsidP="0023637F">
            <w:pPr>
              <w:rPr>
                <w:b/>
              </w:rPr>
            </w:pPr>
            <w:r w:rsidRPr="00E0410C">
              <w:rPr>
                <w:b/>
              </w:rPr>
              <w:t>Przeciwbólowe i przeciwzapalne</w:t>
            </w:r>
          </w:p>
        </w:tc>
      </w:tr>
      <w:tr w:rsidR="00FE1FB5" w:rsidRPr="00E0410C" w:rsidTr="0023637F">
        <w:tc>
          <w:tcPr>
            <w:tcW w:w="1816" w:type="dxa"/>
          </w:tcPr>
          <w:p w:rsidR="00FE1FB5" w:rsidRPr="00E0410C" w:rsidRDefault="00FE1FB5" w:rsidP="0023637F">
            <w:r w:rsidRPr="00E0410C">
              <w:t>Postać /skład</w:t>
            </w:r>
          </w:p>
        </w:tc>
        <w:tc>
          <w:tcPr>
            <w:tcW w:w="8669" w:type="dxa"/>
          </w:tcPr>
          <w:p w:rsidR="00FE1FB5" w:rsidRPr="00E0410C" w:rsidRDefault="00FE1FB5" w:rsidP="0023637F">
            <w:r w:rsidRPr="00E0410C">
              <w:t>kapsułki</w:t>
            </w:r>
          </w:p>
        </w:tc>
      </w:tr>
      <w:tr w:rsidR="00FE1FB5" w:rsidRPr="00E0410C" w:rsidTr="0023637F">
        <w:tc>
          <w:tcPr>
            <w:tcW w:w="1816" w:type="dxa"/>
          </w:tcPr>
          <w:p w:rsidR="00FE1FB5" w:rsidRPr="00E0410C" w:rsidRDefault="00FE1FB5" w:rsidP="0023637F">
            <w:r w:rsidRPr="00E0410C">
              <w:t>Wskazania</w:t>
            </w:r>
          </w:p>
        </w:tc>
        <w:tc>
          <w:tcPr>
            <w:tcW w:w="8669" w:type="dxa"/>
          </w:tcPr>
          <w:p w:rsidR="00FE1FB5" w:rsidRPr="00E0410C" w:rsidRDefault="00FE1FB5" w:rsidP="0023637F">
            <w:r w:rsidRPr="00E0410C">
              <w:t>Bóle różnego pochodzenia o słabym i umiarkowanym nasileniu, bolesne miesiączkowanie, stany gorączkowe</w:t>
            </w:r>
          </w:p>
        </w:tc>
      </w:tr>
      <w:tr w:rsidR="00FE1FB5" w:rsidRPr="00E0410C" w:rsidTr="0023637F">
        <w:tc>
          <w:tcPr>
            <w:tcW w:w="1816" w:type="dxa"/>
          </w:tcPr>
          <w:p w:rsidR="00FE1FB5" w:rsidRPr="00E0410C" w:rsidRDefault="00FE1FB5" w:rsidP="0023637F">
            <w:r w:rsidRPr="00E0410C">
              <w:t>Dawkowanie</w:t>
            </w:r>
          </w:p>
        </w:tc>
        <w:tc>
          <w:tcPr>
            <w:tcW w:w="8669" w:type="dxa"/>
          </w:tcPr>
          <w:p w:rsidR="00FE1FB5" w:rsidRPr="00E0410C" w:rsidRDefault="00FE1FB5" w:rsidP="0023637F">
            <w:r w:rsidRPr="00E0410C">
              <w:t>Dorośli i dzieci powyżej 12 roku życia: 200-400 mg (1-2 kapsułki), w razie potrzeby co 4-6 godzin. Nie należy stosować dawki większej niż 1200 mg na dobę. Kapsułki należy popić szklanką wody</w:t>
            </w:r>
          </w:p>
        </w:tc>
      </w:tr>
      <w:tr w:rsidR="00FE1FB5" w:rsidRPr="00E0410C" w:rsidTr="0023637F">
        <w:tc>
          <w:tcPr>
            <w:tcW w:w="1816" w:type="dxa"/>
          </w:tcPr>
          <w:p w:rsidR="00FE1FB5" w:rsidRPr="00E0410C" w:rsidRDefault="00FE1FB5" w:rsidP="0023637F">
            <w:r w:rsidRPr="00E0410C">
              <w:t>Działania niepożądane</w:t>
            </w:r>
          </w:p>
        </w:tc>
        <w:tc>
          <w:tcPr>
            <w:tcW w:w="8669" w:type="dxa"/>
          </w:tcPr>
          <w:p w:rsidR="00FE1FB5" w:rsidRPr="00E0410C" w:rsidRDefault="00FE1FB5" w:rsidP="0023637F">
            <w:r w:rsidRPr="00E0410C">
              <w:t>Ból głowy, niestrawność, ból brzucha, nudności, pokrzywka, świąd, biegunka, wzdęcia, zaparcia, wymioty, zapalenie błony śluzowej żołądka, zawroty głowy, bezsenność, pobudzenie, drażliwość i uczucie zmęczenia, obrzęki wynikające z zaburzeń nerek i dróg moczowych.</w:t>
            </w:r>
          </w:p>
        </w:tc>
      </w:tr>
      <w:tr w:rsidR="00FE1FB5" w:rsidRPr="00E0410C" w:rsidTr="0023637F">
        <w:tc>
          <w:tcPr>
            <w:tcW w:w="1816" w:type="dxa"/>
          </w:tcPr>
          <w:p w:rsidR="00FE1FB5" w:rsidRPr="00E0410C" w:rsidRDefault="00FE1FB5" w:rsidP="0023637F">
            <w:r w:rsidRPr="00E0410C">
              <w:t>Środki ostrożności</w:t>
            </w:r>
          </w:p>
        </w:tc>
        <w:tc>
          <w:tcPr>
            <w:tcW w:w="8669" w:type="dxa"/>
          </w:tcPr>
          <w:p w:rsidR="00FE1FB5" w:rsidRPr="00E0410C" w:rsidRDefault="00FE1FB5" w:rsidP="0023637F">
            <w:pPr>
              <w:rPr>
                <w:rFonts w:eastAsia="Times New Roman" w:cs="Times New Roman"/>
                <w:lang w:eastAsia="pl-PL"/>
              </w:rPr>
            </w:pPr>
            <w:r w:rsidRPr="00E0410C">
              <w:rPr>
                <w:rFonts w:eastAsia="Times New Roman" w:cs="Times New Roman"/>
                <w:lang w:eastAsia="pl-PL"/>
              </w:rPr>
              <w:t>Nie należy przyjmować leku IBUM w przypadku stosowania innych leków z grupy NLPZ, innych leków przeciwbólowych albo kwasu acetylosalicylowego.</w:t>
            </w:r>
          </w:p>
          <w:p w:rsidR="00FE1FB5" w:rsidRPr="00E0410C" w:rsidRDefault="00FE1FB5" w:rsidP="0023637F">
            <w:r w:rsidRPr="00E0410C">
              <w:rPr>
                <w:rFonts w:eastAsia="Times New Roman" w:cs="Times New Roman"/>
                <w:lang w:eastAsia="pl-PL"/>
              </w:rPr>
              <w:t>Kobiety w ciąży lub karmiące piersią przed zastosowaniem leku powinny skonsultować się z lekarzem.</w:t>
            </w:r>
          </w:p>
        </w:tc>
      </w:tr>
      <w:tr w:rsidR="00FE1FB5" w:rsidRPr="00E0410C" w:rsidTr="0023637F">
        <w:tc>
          <w:tcPr>
            <w:tcW w:w="1816" w:type="dxa"/>
          </w:tcPr>
          <w:p w:rsidR="00FE1FB5" w:rsidRPr="00E0410C" w:rsidRDefault="00FE1FB5" w:rsidP="0023637F">
            <w:r w:rsidRPr="00E0410C">
              <w:t>Przeciwwskazania</w:t>
            </w:r>
          </w:p>
        </w:tc>
        <w:tc>
          <w:tcPr>
            <w:tcW w:w="8669" w:type="dxa"/>
          </w:tcPr>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nadwrażliwość na którykolwiek składnik preparatu,</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choroba wrzodowa żołądka lub dwunastnicy czynna albo w wywiadzie,</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perforacja lub krwawienie z przewodu pokarmowego, w tym po zastosowaniu niesteroidowych leków przeciwzapalnych,</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ciężka niewydolność wątroby, nerek lub serca,</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skaza krwotoczna,</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nadwrażliwość na kwas acetylosalicylowy lub inny niesteroidowy lek przeciwzapalny (wysypka, nieżyt błony śluzowej nosa, astma oskrzelowa w trakcie leczenia niesteroidowym lekiem przeciwzapalnym w wywiadzie),</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III trymestr ciąży,</w:t>
            </w:r>
          </w:p>
          <w:p w:rsidR="00FE1FB5" w:rsidRPr="00E0410C" w:rsidRDefault="00FE1FB5" w:rsidP="0023637F">
            <w:pPr>
              <w:numPr>
                <w:ilvl w:val="0"/>
                <w:numId w:val="4"/>
              </w:numPr>
              <w:spacing w:before="100" w:beforeAutospacing="1" w:after="100" w:afterAutospacing="1"/>
              <w:jc w:val="both"/>
              <w:rPr>
                <w:rFonts w:eastAsia="Times New Roman" w:cs="Times New Roman"/>
                <w:lang w:eastAsia="pl-PL"/>
              </w:rPr>
            </w:pPr>
            <w:r w:rsidRPr="00E0410C">
              <w:rPr>
                <w:rFonts w:eastAsia="Times New Roman" w:cs="Times New Roman"/>
                <w:lang w:eastAsia="pl-PL"/>
              </w:rPr>
              <w:t>nie stosować równolegle z innymi niesteroidowymi lekami przeciwzapalnymi, w tym inhibitorami COX-2</w:t>
            </w:r>
          </w:p>
        </w:tc>
      </w:tr>
      <w:tr w:rsidR="00FE1FB5" w:rsidRPr="00E0410C" w:rsidTr="0023637F">
        <w:tc>
          <w:tcPr>
            <w:tcW w:w="1816" w:type="dxa"/>
          </w:tcPr>
          <w:p w:rsidR="00FE1FB5" w:rsidRPr="00E0410C" w:rsidRDefault="00FE1FB5" w:rsidP="0023637F">
            <w:pPr>
              <w:rPr>
                <w:b/>
              </w:rPr>
            </w:pPr>
            <w:r w:rsidRPr="00E0410C">
              <w:rPr>
                <w:b/>
              </w:rPr>
              <w:t>ASPIRIN C</w:t>
            </w:r>
          </w:p>
        </w:tc>
        <w:tc>
          <w:tcPr>
            <w:tcW w:w="8669" w:type="dxa"/>
          </w:tcPr>
          <w:p w:rsidR="00FE1FB5" w:rsidRPr="00E0410C" w:rsidRDefault="00FE1FB5" w:rsidP="0023637F">
            <w:pPr>
              <w:rPr>
                <w:b/>
              </w:rPr>
            </w:pPr>
            <w:r w:rsidRPr="00E0410C">
              <w:rPr>
                <w:b/>
              </w:rPr>
              <w:t xml:space="preserve">Przeciwbólowe i przeciwzapalne </w:t>
            </w:r>
          </w:p>
        </w:tc>
      </w:tr>
      <w:tr w:rsidR="00FE1FB5" w:rsidRPr="00E0410C" w:rsidTr="0023637F">
        <w:tc>
          <w:tcPr>
            <w:tcW w:w="1816" w:type="dxa"/>
          </w:tcPr>
          <w:p w:rsidR="00FE1FB5" w:rsidRPr="00E0410C" w:rsidRDefault="00FE1FB5" w:rsidP="0023637F">
            <w:r w:rsidRPr="00E0410C">
              <w:t>Postać / skład</w:t>
            </w:r>
          </w:p>
        </w:tc>
        <w:tc>
          <w:tcPr>
            <w:tcW w:w="8669" w:type="dxa"/>
          </w:tcPr>
          <w:p w:rsidR="00FE1FB5" w:rsidRPr="00E0410C" w:rsidRDefault="00FE1FB5" w:rsidP="0023637F">
            <w:r w:rsidRPr="00E0410C">
              <w:t>1 tabletka Aspirin zawiera: 400 mg kwasu acetylosalicylowego i 240 mg kwasu askorbinowego (witaminy C).</w:t>
            </w:r>
            <w:r w:rsidRPr="00E0410C">
              <w:br/>
              <w:t>Inne składniki leku to: sodu cytrynian bezwodny, sodu wodorowęglan, kwas cytrynowy bezwodny, sodu węglan bezwodny.</w:t>
            </w:r>
          </w:p>
          <w:p w:rsidR="00FE1FB5" w:rsidRPr="00E0410C" w:rsidRDefault="00FE1FB5" w:rsidP="0023637F">
            <w:r w:rsidRPr="00E0410C">
              <w:t>Lek dostępny także w postaci tabletek musujących</w:t>
            </w:r>
          </w:p>
        </w:tc>
      </w:tr>
      <w:tr w:rsidR="00FE1FB5" w:rsidRPr="00E0410C" w:rsidTr="0023637F">
        <w:tc>
          <w:tcPr>
            <w:tcW w:w="1816" w:type="dxa"/>
          </w:tcPr>
          <w:p w:rsidR="00FE1FB5" w:rsidRPr="00E0410C" w:rsidRDefault="00FE1FB5" w:rsidP="0023637F">
            <w:r w:rsidRPr="00E0410C">
              <w:t>Wskazania</w:t>
            </w:r>
          </w:p>
        </w:tc>
        <w:tc>
          <w:tcPr>
            <w:tcW w:w="8669" w:type="dxa"/>
          </w:tcPr>
          <w:p w:rsidR="00FE1FB5" w:rsidRPr="00E0410C" w:rsidRDefault="00FE1FB5" w:rsidP="0023637F">
            <w:r w:rsidRPr="00E0410C">
              <w:t>Objawowe leczenie dolegliwości bólowych o małym i (lub) umiarkowanym nasileniu (np: bóle głowy, bóle zębów, bóle mięśniowe).</w:t>
            </w:r>
            <w:r w:rsidRPr="00E0410C">
              <w:br/>
              <w:t>Objawowe leczenie dolegliwości bólowych i gorączki w przebiegu przeziębienia i grypy.</w:t>
            </w:r>
          </w:p>
        </w:tc>
      </w:tr>
      <w:tr w:rsidR="00FE1FB5" w:rsidRPr="00E0410C" w:rsidTr="0023637F">
        <w:tc>
          <w:tcPr>
            <w:tcW w:w="1816" w:type="dxa"/>
          </w:tcPr>
          <w:p w:rsidR="00FE1FB5" w:rsidRPr="00E0410C" w:rsidRDefault="00FE1FB5" w:rsidP="0023637F">
            <w:r w:rsidRPr="00E0410C">
              <w:t>Dawkowanie</w:t>
            </w:r>
          </w:p>
        </w:tc>
        <w:tc>
          <w:tcPr>
            <w:tcW w:w="8669" w:type="dxa"/>
          </w:tcPr>
          <w:p w:rsidR="00FE1FB5" w:rsidRPr="00E0410C" w:rsidRDefault="00FE1FB5" w:rsidP="0023637F">
            <w:r w:rsidRPr="00E0410C">
              <w:rPr>
                <w:u w:val="single"/>
              </w:rPr>
              <w:t xml:space="preserve">dorośli: </w:t>
            </w:r>
            <w:r w:rsidRPr="00E0410C">
              <w:br/>
              <w:t>jednorazowo od 1 do 2 tabletek. W razie konieczności dawka jednorazowa może być powtarzana co 4 do 8 godzin. Nie należy przyjmować więcej niż 8 tabletek na dobę.</w:t>
            </w:r>
            <w:r w:rsidRPr="00E0410C">
              <w:br/>
            </w:r>
            <w:r w:rsidRPr="00E0410C">
              <w:br/>
            </w:r>
            <w:r w:rsidRPr="00E0410C">
              <w:rPr>
                <w:u w:val="single"/>
              </w:rPr>
              <w:t xml:space="preserve">dzieci w wieku powyżej 9 lat: </w:t>
            </w:r>
            <w:r w:rsidRPr="00E0410C">
              <w:br/>
              <w:t>jednorazowo 1 tabletkę. W razie konieczności dawka jednorazowa może być powtarzana co 4 do 8 godzin. Nie należy przyjmować więcej niż 3 tabletki na dobę.</w:t>
            </w:r>
          </w:p>
        </w:tc>
      </w:tr>
      <w:tr w:rsidR="00FE1FB5" w:rsidRPr="00E0410C" w:rsidTr="0023637F">
        <w:tc>
          <w:tcPr>
            <w:tcW w:w="1816" w:type="dxa"/>
          </w:tcPr>
          <w:p w:rsidR="00FE1FB5" w:rsidRPr="00E0410C" w:rsidRDefault="00FE1FB5" w:rsidP="0023637F">
            <w:r w:rsidRPr="00E0410C">
              <w:t>Działania niepożądane</w:t>
            </w:r>
          </w:p>
        </w:tc>
        <w:tc>
          <w:tcPr>
            <w:tcW w:w="8669" w:type="dxa"/>
          </w:tcPr>
          <w:p w:rsidR="00FE1FB5" w:rsidRPr="00E0410C" w:rsidRDefault="00FE1FB5" w:rsidP="0023637F">
            <w:r w:rsidRPr="00E0410C">
              <w:t xml:space="preserve">Nasilenie objawów astmy, nasilenie </w:t>
            </w:r>
            <w:r w:rsidRPr="00E0410C">
              <w:rPr>
                <w:rFonts w:eastAsia="Times New Roman" w:cs="Times New Roman"/>
                <w:lang w:eastAsia="pl-PL"/>
              </w:rPr>
              <w:t>działania leków przeciwzakrzepowych, ryzyko wystąpienia choroby wrzodowej i krwawień z przewodu pokarmowego, jeśli jest stosowany jednocześnie z kortykosteroidami, innymi niesteroidowymi lekami przeciwzapalnymi</w:t>
            </w:r>
          </w:p>
        </w:tc>
      </w:tr>
      <w:tr w:rsidR="00FE1FB5" w:rsidRPr="00E0410C" w:rsidTr="0023637F">
        <w:tc>
          <w:tcPr>
            <w:tcW w:w="1816" w:type="dxa"/>
          </w:tcPr>
          <w:p w:rsidR="00FE1FB5" w:rsidRPr="00E0410C" w:rsidRDefault="00FE1FB5" w:rsidP="0023637F">
            <w:r w:rsidRPr="00E0410C">
              <w:t>Środki ostrożności</w:t>
            </w:r>
          </w:p>
        </w:tc>
        <w:tc>
          <w:tcPr>
            <w:tcW w:w="8669" w:type="dxa"/>
          </w:tcPr>
          <w:p w:rsidR="00FE1FB5" w:rsidRPr="00E0410C" w:rsidRDefault="00FE1FB5" w:rsidP="0023637F">
            <w:r w:rsidRPr="00E0410C">
              <w:t>Długotrwałe przyjmowanie preparatów zawierających kwas acetylosalicylowy może być przyczyną bólu głowy, który nasila się podczas przyjmowania kolejnych dawek.</w:t>
            </w:r>
          </w:p>
        </w:tc>
      </w:tr>
      <w:tr w:rsidR="00FE1FB5" w:rsidRPr="00E0410C" w:rsidTr="0023637F">
        <w:tc>
          <w:tcPr>
            <w:tcW w:w="1816" w:type="dxa"/>
          </w:tcPr>
          <w:p w:rsidR="00FE1FB5" w:rsidRPr="00E0410C" w:rsidRDefault="00FE1FB5" w:rsidP="0023637F">
            <w:r w:rsidRPr="00E0410C">
              <w:t>Przeciwwskazania</w:t>
            </w:r>
          </w:p>
        </w:tc>
        <w:tc>
          <w:tcPr>
            <w:tcW w:w="8669" w:type="dxa"/>
          </w:tcPr>
          <w:p w:rsidR="00FE1FB5" w:rsidRPr="00E0410C" w:rsidRDefault="00FE1FB5" w:rsidP="0023637F">
            <w:pPr>
              <w:numPr>
                <w:ilvl w:val="0"/>
                <w:numId w:val="5"/>
              </w:numPr>
              <w:spacing w:before="100" w:beforeAutospacing="1" w:after="100" w:afterAutospacing="1"/>
            </w:pPr>
            <w:r w:rsidRPr="00E0410C">
              <w:t>jeśli u pacjenta stwierdzono uczulenie (nadwrażliwość) na substancje czynne, inne salicylany lub którykolwiek z pozostałych składników leku Aspirin C,</w:t>
            </w:r>
          </w:p>
          <w:p w:rsidR="00FE1FB5" w:rsidRPr="00E0410C" w:rsidRDefault="00FE1FB5" w:rsidP="0023637F">
            <w:pPr>
              <w:numPr>
                <w:ilvl w:val="0"/>
                <w:numId w:val="5"/>
              </w:numPr>
              <w:spacing w:before="100" w:beforeAutospacing="1" w:after="100" w:afterAutospacing="1"/>
            </w:pPr>
            <w:r w:rsidRPr="00E0410C">
              <w:t>jeśli u pacjenta występuje skaza krwotoczna,</w:t>
            </w:r>
          </w:p>
          <w:p w:rsidR="00FE1FB5" w:rsidRPr="00E0410C" w:rsidRDefault="00FE1FB5" w:rsidP="0023637F">
            <w:pPr>
              <w:numPr>
                <w:ilvl w:val="0"/>
                <w:numId w:val="5"/>
              </w:numPr>
              <w:spacing w:before="100" w:beforeAutospacing="1" w:after="100" w:afterAutospacing="1"/>
            </w:pPr>
            <w:r w:rsidRPr="00E0410C">
              <w:t>jeśli u pacjenta występuje choroba wrzodowa żołądka lub dwunastnicy,</w:t>
            </w:r>
          </w:p>
          <w:p w:rsidR="00FE1FB5" w:rsidRPr="00E0410C" w:rsidRDefault="00FE1FB5" w:rsidP="0023637F">
            <w:pPr>
              <w:numPr>
                <w:ilvl w:val="0"/>
                <w:numId w:val="5"/>
              </w:numPr>
              <w:spacing w:before="100" w:beforeAutospacing="1" w:after="100" w:afterAutospacing="1"/>
            </w:pPr>
            <w:r w:rsidRPr="00E0410C">
              <w:lastRenderedPageBreak/>
              <w:t>jeśli u pacjenta występuje ciężka niewydolność serca lub ciężka niewydolność wątroby lub ciężka niewydolność nerek,</w:t>
            </w:r>
          </w:p>
          <w:p w:rsidR="00FE1FB5" w:rsidRPr="00E0410C" w:rsidRDefault="00FE1FB5" w:rsidP="0023637F">
            <w:pPr>
              <w:numPr>
                <w:ilvl w:val="0"/>
                <w:numId w:val="5"/>
              </w:numPr>
              <w:spacing w:before="100" w:beforeAutospacing="1" w:after="100" w:afterAutospacing="1"/>
            </w:pPr>
            <w:r w:rsidRPr="00E0410C">
              <w:t>jeśli u pacjenta występują napady astmy oskrzelowej w wywiadzie, wywołane podaniem salicylanów lub substancji o podobnym działaniu, szczególnie niesteroidowych leków przeciwzapalnych,</w:t>
            </w:r>
          </w:p>
          <w:p w:rsidR="00FE1FB5" w:rsidRPr="00E0410C" w:rsidRDefault="00FE1FB5" w:rsidP="0023637F">
            <w:pPr>
              <w:numPr>
                <w:ilvl w:val="0"/>
                <w:numId w:val="5"/>
              </w:numPr>
              <w:spacing w:before="100" w:beforeAutospacing="1" w:after="100" w:afterAutospacing="1"/>
            </w:pPr>
            <w:r w:rsidRPr="00E0410C">
              <w:t>jeśli pacjent stosuje jednocześnie lek metotreksat (stosowany m.in. w chorobach nowotworowych) w dawkach 15 mg na tydzień lub większych,</w:t>
            </w:r>
          </w:p>
          <w:p w:rsidR="00FE1FB5" w:rsidRPr="00E0410C" w:rsidRDefault="00FE1FB5" w:rsidP="0023637F">
            <w:pPr>
              <w:numPr>
                <w:ilvl w:val="0"/>
                <w:numId w:val="5"/>
              </w:numPr>
              <w:spacing w:before="100" w:beforeAutospacing="1" w:after="100" w:afterAutospacing="1"/>
            </w:pPr>
            <w:r w:rsidRPr="00E0410C">
              <w:t>jeśli pacjentka jest w ostatnim trymestrze ciąży,</w:t>
            </w:r>
          </w:p>
          <w:p w:rsidR="00FE1FB5" w:rsidRPr="00E0410C" w:rsidRDefault="00FE1FB5" w:rsidP="0023637F">
            <w:pPr>
              <w:numPr>
                <w:ilvl w:val="0"/>
                <w:numId w:val="5"/>
              </w:numPr>
              <w:spacing w:before="100" w:beforeAutospacing="1" w:after="100" w:afterAutospacing="1"/>
            </w:pPr>
            <w:r w:rsidRPr="00E0410C">
              <w:t>u dzieci do 12 lat w przebiegu infekcji wirusowej.</w:t>
            </w:r>
          </w:p>
        </w:tc>
      </w:tr>
      <w:tr w:rsidR="00FE1FB5" w:rsidRPr="00E0410C" w:rsidTr="0023637F">
        <w:tc>
          <w:tcPr>
            <w:tcW w:w="1816" w:type="dxa"/>
          </w:tcPr>
          <w:p w:rsidR="00FE1FB5" w:rsidRPr="00E0410C" w:rsidRDefault="00FE1FB5" w:rsidP="0023637F">
            <w:pPr>
              <w:rPr>
                <w:b/>
              </w:rPr>
            </w:pPr>
            <w:r w:rsidRPr="00E0410C">
              <w:rPr>
                <w:b/>
              </w:rPr>
              <w:lastRenderedPageBreak/>
              <w:t>APAP</w:t>
            </w:r>
          </w:p>
        </w:tc>
        <w:tc>
          <w:tcPr>
            <w:tcW w:w="8669" w:type="dxa"/>
          </w:tcPr>
          <w:p w:rsidR="00FE1FB5" w:rsidRPr="00E0410C" w:rsidRDefault="00FE1FB5" w:rsidP="0023637F">
            <w:pPr>
              <w:rPr>
                <w:b/>
              </w:rPr>
            </w:pPr>
            <w:r w:rsidRPr="00E0410C">
              <w:t>lek przeciwbólowy oraz przeciwgorączkowy</w:t>
            </w:r>
          </w:p>
        </w:tc>
      </w:tr>
      <w:tr w:rsidR="00FE1FB5" w:rsidRPr="00E0410C" w:rsidTr="0023637F">
        <w:tc>
          <w:tcPr>
            <w:tcW w:w="1816" w:type="dxa"/>
          </w:tcPr>
          <w:p w:rsidR="00FE1FB5" w:rsidRPr="00E0410C" w:rsidRDefault="00FE1FB5" w:rsidP="0023637F">
            <w:r w:rsidRPr="00E0410C">
              <w:t>Postać / skład</w:t>
            </w:r>
          </w:p>
        </w:tc>
        <w:tc>
          <w:tcPr>
            <w:tcW w:w="8669" w:type="dxa"/>
          </w:tcPr>
          <w:p w:rsidR="00FE1FB5" w:rsidRPr="00E0410C" w:rsidRDefault="00FE1FB5" w:rsidP="0023637F">
            <w:r w:rsidRPr="00E0410C">
              <w:t>1 tabletka powlekana zawiera: paracetamol 500 mg</w:t>
            </w:r>
          </w:p>
        </w:tc>
      </w:tr>
      <w:tr w:rsidR="00FE1FB5" w:rsidRPr="00E0410C" w:rsidTr="0023637F">
        <w:tc>
          <w:tcPr>
            <w:tcW w:w="1816" w:type="dxa"/>
          </w:tcPr>
          <w:p w:rsidR="00FE1FB5" w:rsidRPr="00E0410C" w:rsidRDefault="00FE1FB5" w:rsidP="0023637F">
            <w:r w:rsidRPr="00E0410C">
              <w:t>Wskazania</w:t>
            </w:r>
          </w:p>
        </w:tc>
        <w:tc>
          <w:tcPr>
            <w:tcW w:w="8669"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Bóle różnego pochodzenia:</w:t>
            </w:r>
          </w:p>
          <w:p w:rsidR="00FE1FB5" w:rsidRPr="00E0410C" w:rsidRDefault="00FE1FB5" w:rsidP="0023637F">
            <w:pPr>
              <w:numPr>
                <w:ilvl w:val="0"/>
                <w:numId w:val="10"/>
              </w:numPr>
              <w:spacing w:before="100" w:beforeAutospacing="1" w:after="100" w:afterAutospacing="1"/>
              <w:rPr>
                <w:rFonts w:eastAsia="Times New Roman" w:cs="Times New Roman"/>
                <w:lang w:eastAsia="pl-PL"/>
              </w:rPr>
            </w:pPr>
            <w:r w:rsidRPr="00E0410C">
              <w:rPr>
                <w:rFonts w:eastAsia="Times New Roman" w:cs="Times New Roman"/>
                <w:lang w:eastAsia="pl-PL"/>
              </w:rPr>
              <w:t>ból głowy, mięśni, zębów,</w:t>
            </w:r>
          </w:p>
          <w:p w:rsidR="00FE1FB5" w:rsidRPr="00E0410C" w:rsidRDefault="00FE1FB5" w:rsidP="0023637F">
            <w:pPr>
              <w:numPr>
                <w:ilvl w:val="0"/>
                <w:numId w:val="10"/>
              </w:numPr>
              <w:spacing w:before="100" w:beforeAutospacing="1" w:after="100" w:afterAutospacing="1"/>
              <w:rPr>
                <w:rFonts w:eastAsia="Times New Roman" w:cs="Times New Roman"/>
                <w:lang w:eastAsia="pl-PL"/>
              </w:rPr>
            </w:pPr>
            <w:r w:rsidRPr="00E0410C">
              <w:rPr>
                <w:rFonts w:eastAsia="Times New Roman" w:cs="Times New Roman"/>
                <w:lang w:eastAsia="pl-PL"/>
              </w:rPr>
              <w:t>nerwobóle,</w:t>
            </w:r>
          </w:p>
          <w:p w:rsidR="00FE1FB5" w:rsidRPr="00E0410C" w:rsidRDefault="00FE1FB5" w:rsidP="0023637F">
            <w:pPr>
              <w:numPr>
                <w:ilvl w:val="0"/>
                <w:numId w:val="10"/>
              </w:numPr>
              <w:spacing w:before="100" w:beforeAutospacing="1" w:after="100" w:afterAutospacing="1"/>
              <w:rPr>
                <w:rFonts w:eastAsia="Times New Roman" w:cs="Times New Roman"/>
                <w:lang w:eastAsia="pl-PL"/>
              </w:rPr>
            </w:pPr>
            <w:r w:rsidRPr="00E0410C">
              <w:rPr>
                <w:rFonts w:eastAsia="Times New Roman" w:cs="Times New Roman"/>
                <w:lang w:eastAsia="pl-PL"/>
              </w:rPr>
              <w:t>bóle miesiączkowe,</w:t>
            </w:r>
          </w:p>
          <w:p w:rsidR="00FE1FB5" w:rsidRPr="00E0410C" w:rsidRDefault="00FE1FB5" w:rsidP="0023637F">
            <w:pPr>
              <w:numPr>
                <w:ilvl w:val="0"/>
                <w:numId w:val="10"/>
              </w:numPr>
              <w:spacing w:before="100" w:beforeAutospacing="1" w:after="100" w:afterAutospacing="1"/>
              <w:rPr>
                <w:rFonts w:eastAsia="Times New Roman" w:cs="Times New Roman"/>
                <w:lang w:eastAsia="pl-PL"/>
              </w:rPr>
            </w:pPr>
            <w:r w:rsidRPr="00E0410C">
              <w:rPr>
                <w:rFonts w:eastAsia="Times New Roman" w:cs="Times New Roman"/>
                <w:lang w:eastAsia="pl-PL"/>
              </w:rPr>
              <w:t>gorączka np. w przebiegu przeziębienia lub grypy.</w:t>
            </w:r>
          </w:p>
        </w:tc>
      </w:tr>
      <w:tr w:rsidR="00FE1FB5" w:rsidRPr="00E0410C" w:rsidTr="0023637F">
        <w:tc>
          <w:tcPr>
            <w:tcW w:w="1816" w:type="dxa"/>
          </w:tcPr>
          <w:p w:rsidR="00FE1FB5" w:rsidRPr="00E0410C" w:rsidRDefault="00FE1FB5" w:rsidP="0023637F">
            <w:r w:rsidRPr="00E0410C">
              <w:t>Dawkowanie</w:t>
            </w:r>
          </w:p>
        </w:tc>
        <w:tc>
          <w:tcPr>
            <w:tcW w:w="8669" w:type="dxa"/>
          </w:tcPr>
          <w:p w:rsidR="00FE1FB5" w:rsidRPr="00E0410C" w:rsidRDefault="00FE1FB5" w:rsidP="00252522">
            <w:r w:rsidRPr="00E0410C">
              <w:t>Dorośli: 1-2 tabletki 3-4 razy na dobę (maksymalnie 8 tabletek w ciągu doby).</w:t>
            </w:r>
            <w:r w:rsidRPr="00E0410C">
              <w:br/>
              <w:t>Dzieci powyżej 12 lat: 1 tabletka 3 do 4 razy na dobę.</w:t>
            </w:r>
          </w:p>
        </w:tc>
      </w:tr>
      <w:tr w:rsidR="00FE1FB5" w:rsidRPr="00E0410C" w:rsidTr="0023637F">
        <w:tc>
          <w:tcPr>
            <w:tcW w:w="1816" w:type="dxa"/>
          </w:tcPr>
          <w:p w:rsidR="00FE1FB5" w:rsidRPr="00E0410C" w:rsidRDefault="00FE1FB5" w:rsidP="0023637F">
            <w:r w:rsidRPr="00E0410C">
              <w:t>Działania niepożądane</w:t>
            </w:r>
          </w:p>
        </w:tc>
        <w:tc>
          <w:tcPr>
            <w:tcW w:w="8669" w:type="dxa"/>
          </w:tcPr>
          <w:p w:rsidR="00FE1FB5" w:rsidRPr="00E0410C" w:rsidRDefault="004D71CA" w:rsidP="00252522">
            <w:r w:rsidRPr="00E0410C">
              <w:t>P</w:t>
            </w:r>
            <w:r w:rsidR="00FE1FB5" w:rsidRPr="00E0410C">
              <w:t>okrzywka, rumień, wysypka, plamica barwnikowa, wstrząs anafilaktyczny, zaburzenia ze strony przewodu pokarmowego: ostra niewydolność wątroby, nudności, wymioty, zaburzenia trawienia.</w:t>
            </w:r>
          </w:p>
        </w:tc>
      </w:tr>
      <w:tr w:rsidR="00FE1FB5" w:rsidRPr="00E0410C" w:rsidTr="0023637F">
        <w:tc>
          <w:tcPr>
            <w:tcW w:w="1816" w:type="dxa"/>
          </w:tcPr>
          <w:p w:rsidR="00FE1FB5" w:rsidRPr="00E0410C" w:rsidRDefault="00FE1FB5" w:rsidP="0023637F">
            <w:r w:rsidRPr="00E0410C">
              <w:t>Środki ostrożności</w:t>
            </w:r>
          </w:p>
        </w:tc>
        <w:tc>
          <w:tcPr>
            <w:tcW w:w="8669" w:type="dxa"/>
          </w:tcPr>
          <w:p w:rsidR="00FE1FB5" w:rsidRPr="00E0410C" w:rsidRDefault="00FE1FB5" w:rsidP="00252522">
            <w:r w:rsidRPr="00E0410C">
              <w:t>Leku nie należy stosować równocześnie z innymi lekami zawierającymi paracetamol. Kofeina nasila przeciwbólowe działanie paracetamolu.</w:t>
            </w:r>
          </w:p>
        </w:tc>
      </w:tr>
      <w:tr w:rsidR="00FE1FB5" w:rsidRPr="00E0410C" w:rsidTr="0023637F">
        <w:tc>
          <w:tcPr>
            <w:tcW w:w="1816" w:type="dxa"/>
          </w:tcPr>
          <w:p w:rsidR="00FE1FB5" w:rsidRPr="00E0410C" w:rsidRDefault="00FE1FB5" w:rsidP="0023637F">
            <w:r w:rsidRPr="00E0410C">
              <w:t>Przeciwwskazania</w:t>
            </w:r>
          </w:p>
        </w:tc>
        <w:tc>
          <w:tcPr>
            <w:tcW w:w="8669" w:type="dxa"/>
          </w:tcPr>
          <w:p w:rsidR="00FE1FB5" w:rsidRPr="00E0410C" w:rsidRDefault="00FE1FB5" w:rsidP="00252522">
            <w:r w:rsidRPr="00E0410C">
              <w:t>Nie należy przyjmować leku jeśli:</w:t>
            </w:r>
          </w:p>
          <w:p w:rsidR="00FE1FB5" w:rsidRPr="00E0410C" w:rsidRDefault="00FE1FB5" w:rsidP="00252522">
            <w:r w:rsidRPr="00E0410C">
              <w:t>wcześniej stwierdzono uczulenie na paracetamol lub którykolwiek składnik leku,</w:t>
            </w:r>
          </w:p>
          <w:p w:rsidR="00FE1FB5" w:rsidRPr="00E0410C" w:rsidRDefault="00FE1FB5" w:rsidP="00252522">
            <w:r w:rsidRPr="00E0410C">
              <w:t>występuje ciężka niewydolność wątroby lub nerek,</w:t>
            </w:r>
          </w:p>
          <w:p w:rsidR="00FE1FB5" w:rsidRPr="00E0410C" w:rsidRDefault="00FE1FB5" w:rsidP="00252522">
            <w:r w:rsidRPr="00E0410C">
              <w:t>u dzieci w wieku poniżej 12 lat.</w:t>
            </w:r>
          </w:p>
        </w:tc>
      </w:tr>
      <w:tr w:rsidR="00FE1FB5" w:rsidRPr="00E0410C" w:rsidTr="0023637F">
        <w:tc>
          <w:tcPr>
            <w:tcW w:w="1816" w:type="dxa"/>
          </w:tcPr>
          <w:p w:rsidR="00FE1FB5" w:rsidRPr="00E0410C" w:rsidRDefault="00FE1FB5" w:rsidP="0023637F">
            <w:pPr>
              <w:rPr>
                <w:b/>
              </w:rPr>
            </w:pPr>
            <w:r w:rsidRPr="00E0410C">
              <w:rPr>
                <w:b/>
              </w:rPr>
              <w:t>EFFERALGAN</w:t>
            </w:r>
          </w:p>
        </w:tc>
        <w:tc>
          <w:tcPr>
            <w:tcW w:w="8669" w:type="dxa"/>
          </w:tcPr>
          <w:p w:rsidR="00FE1FB5" w:rsidRPr="00E0410C" w:rsidRDefault="00FE1FB5" w:rsidP="0023637F">
            <w:pPr>
              <w:rPr>
                <w:b/>
              </w:rPr>
            </w:pPr>
            <w:r w:rsidRPr="00E0410C">
              <w:rPr>
                <w:b/>
              </w:rPr>
              <w:t>Preparat stosowany w leczeniu objawowym bólu i stanów gorączkowych.</w:t>
            </w:r>
          </w:p>
        </w:tc>
      </w:tr>
      <w:tr w:rsidR="00FE1FB5" w:rsidRPr="00E0410C" w:rsidTr="0023637F">
        <w:tc>
          <w:tcPr>
            <w:tcW w:w="1816" w:type="dxa"/>
          </w:tcPr>
          <w:p w:rsidR="00FE1FB5" w:rsidRPr="00E0410C" w:rsidRDefault="00FE1FB5" w:rsidP="0023637F">
            <w:r w:rsidRPr="00E0410C">
              <w:t>Postać / skład</w:t>
            </w:r>
          </w:p>
        </w:tc>
        <w:tc>
          <w:tcPr>
            <w:tcW w:w="8669" w:type="dxa"/>
          </w:tcPr>
          <w:p w:rsidR="00FE1FB5" w:rsidRPr="00E0410C" w:rsidRDefault="00FE1FB5" w:rsidP="0023637F">
            <w:r w:rsidRPr="00E0410C">
              <w:t>1 czopek zawiera paracetamol 150 mg</w:t>
            </w:r>
          </w:p>
        </w:tc>
      </w:tr>
      <w:tr w:rsidR="00FE1FB5" w:rsidRPr="00E0410C" w:rsidTr="0023637F">
        <w:tc>
          <w:tcPr>
            <w:tcW w:w="1816" w:type="dxa"/>
          </w:tcPr>
          <w:p w:rsidR="00FE1FB5" w:rsidRPr="00E0410C" w:rsidRDefault="00FE1FB5" w:rsidP="0023637F">
            <w:r w:rsidRPr="00E0410C">
              <w:t>Wskazania</w:t>
            </w:r>
          </w:p>
        </w:tc>
        <w:tc>
          <w:tcPr>
            <w:tcW w:w="8669" w:type="dxa"/>
          </w:tcPr>
          <w:p w:rsidR="00FE1FB5" w:rsidRPr="00E0410C" w:rsidRDefault="00FE1FB5" w:rsidP="0023637F">
            <w:pPr>
              <w:spacing w:before="100" w:beforeAutospacing="1" w:after="100" w:afterAutospacing="1"/>
              <w:rPr>
                <w:rFonts w:eastAsia="Times New Roman" w:cs="Times New Roman"/>
                <w:lang w:eastAsia="pl-PL"/>
              </w:rPr>
            </w:pPr>
            <w:r w:rsidRPr="00E0410C">
              <w:rPr>
                <w:rStyle w:val="b"/>
              </w:rPr>
              <w:t>Gorączka, leczenie objawowe stanów grypopodobnych i przeziębienia</w:t>
            </w:r>
          </w:p>
        </w:tc>
      </w:tr>
      <w:tr w:rsidR="00FE1FB5" w:rsidRPr="00E0410C" w:rsidTr="0023637F">
        <w:tc>
          <w:tcPr>
            <w:tcW w:w="1816" w:type="dxa"/>
          </w:tcPr>
          <w:p w:rsidR="00FE1FB5" w:rsidRPr="00E0410C" w:rsidRDefault="00FE1FB5" w:rsidP="0023637F">
            <w:r w:rsidRPr="00E0410C">
              <w:t>Dawkowanie</w:t>
            </w:r>
          </w:p>
        </w:tc>
        <w:tc>
          <w:tcPr>
            <w:tcW w:w="8669" w:type="dxa"/>
          </w:tcPr>
          <w:p w:rsidR="00FE1FB5" w:rsidRPr="00E0410C" w:rsidRDefault="00FE1FB5" w:rsidP="0023637F">
            <w:r w:rsidRPr="00E0410C">
              <w:t>Doodbytniczo. U dzieci należy przestrzegać dawkowania w odniesieniu do masy ciała: dla niemowląt i dzieci o masie ciała od 8 do 12 kg (wiek około 6-24 miesiące) właściwa dawka to 1 czopek, w razie konieczności co 6 godzin, nie należy stosowa</w:t>
            </w:r>
            <w:r w:rsidR="00745217" w:rsidRPr="00E0410C">
              <w:t>ć więcej niż 4 czopki na dobę.</w:t>
            </w:r>
            <w:r w:rsidR="00745217" w:rsidRPr="00E0410C">
              <w:br/>
            </w:r>
            <w:r w:rsidRPr="00E0410C">
              <w:t>Dorośli i dzieci powyżej 50kg: całkowita dawka paracetamolu nie może być większa niż 4g na dobę.</w:t>
            </w:r>
          </w:p>
        </w:tc>
      </w:tr>
      <w:tr w:rsidR="00FE1FB5" w:rsidRPr="00E0410C" w:rsidTr="0023637F">
        <w:tc>
          <w:tcPr>
            <w:tcW w:w="1816" w:type="dxa"/>
          </w:tcPr>
          <w:p w:rsidR="00FE1FB5" w:rsidRPr="00E0410C" w:rsidRDefault="00FE1FB5" w:rsidP="0023637F">
            <w:r w:rsidRPr="00E0410C">
              <w:t>Działania niepożądane</w:t>
            </w:r>
          </w:p>
        </w:tc>
        <w:tc>
          <w:tcPr>
            <w:tcW w:w="8669" w:type="dxa"/>
          </w:tcPr>
          <w:p w:rsidR="00FE1FB5" w:rsidRPr="00E0410C" w:rsidRDefault="00FE1FB5" w:rsidP="0023637F">
            <w:r w:rsidRPr="00E0410C">
              <w:t>złe samopoczucie, obniżenie ciśnienia krwi, reakcje nadwrażliwości, częstoskurcz, biegunka, bóle brzucha, nudności, wymioty, kolka nerkowa</w:t>
            </w:r>
          </w:p>
        </w:tc>
      </w:tr>
      <w:tr w:rsidR="00FE1FB5" w:rsidRPr="00E0410C" w:rsidTr="0023637F">
        <w:tc>
          <w:tcPr>
            <w:tcW w:w="1816" w:type="dxa"/>
          </w:tcPr>
          <w:p w:rsidR="00FE1FB5" w:rsidRPr="00E0410C" w:rsidRDefault="00FE1FB5" w:rsidP="0023637F">
            <w:r w:rsidRPr="00E0410C">
              <w:t>Środki ostrożności</w:t>
            </w:r>
          </w:p>
        </w:tc>
        <w:tc>
          <w:tcPr>
            <w:tcW w:w="8669" w:type="dxa"/>
          </w:tcPr>
          <w:p w:rsidR="00FE1FB5" w:rsidRPr="00E0410C" w:rsidRDefault="00FE1FB5" w:rsidP="0023637F">
            <w:r w:rsidRPr="00E0410C">
              <w:t>Ten lek może być stosowany w okresie ciąży i w okresie karmienia piersią tylko za zgodą lekarza i w konkretnym przypadku.</w:t>
            </w:r>
          </w:p>
        </w:tc>
      </w:tr>
      <w:tr w:rsidR="00FE1FB5" w:rsidRPr="00E0410C" w:rsidTr="0023637F">
        <w:tc>
          <w:tcPr>
            <w:tcW w:w="1816" w:type="dxa"/>
          </w:tcPr>
          <w:p w:rsidR="00FE1FB5" w:rsidRPr="00E0410C" w:rsidRDefault="00FE1FB5" w:rsidP="0023637F">
            <w:r w:rsidRPr="00E0410C">
              <w:t>Przeciwwskazania</w:t>
            </w:r>
          </w:p>
        </w:tc>
        <w:tc>
          <w:tcPr>
            <w:tcW w:w="8669" w:type="dxa"/>
          </w:tcPr>
          <w:p w:rsidR="00FE1FB5" w:rsidRPr="00E0410C" w:rsidRDefault="00FE1FB5" w:rsidP="0023637F">
            <w:r w:rsidRPr="00E0410C">
              <w:t>Nadwrażliwość na składniki preparatu. Ciężka niewydolność wątroby lub nerek. Choroba alkoholowa. Ostrożnie stosować u pacjentów z niewydolnością wątroby i nerek. Szczególne ryzyko uszkodzenia wątroby istnieje u pacjentów głodzonych i regularnie spożywających alkohol. Mniej niż 5% pacjentów z nadwrażliwością na pochodne kwasu acetylosalicylowego może również być uczulona na paracetamol.</w:t>
            </w:r>
          </w:p>
        </w:tc>
      </w:tr>
      <w:tr w:rsidR="00FE1FB5" w:rsidRPr="00E0410C" w:rsidTr="0023637F">
        <w:tc>
          <w:tcPr>
            <w:tcW w:w="1816" w:type="dxa"/>
          </w:tcPr>
          <w:p w:rsidR="00FE1FB5" w:rsidRPr="00E0410C" w:rsidRDefault="00FE1FB5" w:rsidP="0023637F">
            <w:pPr>
              <w:rPr>
                <w:b/>
              </w:rPr>
            </w:pPr>
            <w:r w:rsidRPr="00E0410C">
              <w:rPr>
                <w:b/>
              </w:rPr>
              <w:t>NO-SPA</w:t>
            </w:r>
          </w:p>
        </w:tc>
        <w:tc>
          <w:tcPr>
            <w:tcW w:w="8669" w:type="dxa"/>
          </w:tcPr>
          <w:p w:rsidR="00FE1FB5" w:rsidRPr="00E0410C" w:rsidRDefault="00FE1FB5" w:rsidP="0023637F">
            <w:pPr>
              <w:rPr>
                <w:b/>
              </w:rPr>
            </w:pPr>
            <w:r w:rsidRPr="00E0410C">
              <w:rPr>
                <w:b/>
              </w:rPr>
              <w:t>Produkt leczniczy do stosowania w skurczu mięśni gładkich pochodzenia zarówno nerwowego, jak i mięśniowego.</w:t>
            </w:r>
          </w:p>
        </w:tc>
      </w:tr>
      <w:tr w:rsidR="00FE1FB5" w:rsidRPr="00E0410C" w:rsidTr="0023637F">
        <w:tc>
          <w:tcPr>
            <w:tcW w:w="1816" w:type="dxa"/>
          </w:tcPr>
          <w:p w:rsidR="00FE1FB5" w:rsidRPr="00E0410C" w:rsidRDefault="00FE1FB5" w:rsidP="0023637F">
            <w:r w:rsidRPr="00E0410C">
              <w:t>Postać / skład</w:t>
            </w:r>
          </w:p>
        </w:tc>
        <w:tc>
          <w:tcPr>
            <w:tcW w:w="8669" w:type="dxa"/>
          </w:tcPr>
          <w:p w:rsidR="00FE1FB5" w:rsidRPr="00E0410C" w:rsidRDefault="00FE1FB5" w:rsidP="0023637F">
            <w:pPr>
              <w:pStyle w:val="Heading4"/>
              <w:outlineLvl w:val="3"/>
              <w:rPr>
                <w:rFonts w:asciiTheme="minorHAnsi" w:hAnsiTheme="minorHAnsi"/>
                <w:b w:val="0"/>
                <w:sz w:val="22"/>
                <w:szCs w:val="22"/>
              </w:rPr>
            </w:pPr>
            <w:r w:rsidRPr="00E0410C">
              <w:rPr>
                <w:rFonts w:asciiTheme="minorHAnsi" w:hAnsiTheme="minorHAnsi"/>
                <w:b w:val="0"/>
                <w:sz w:val="22"/>
                <w:szCs w:val="22"/>
              </w:rPr>
              <w:t>1 tabletka zawiera 40mg drotaweryny</w:t>
            </w:r>
          </w:p>
        </w:tc>
      </w:tr>
      <w:tr w:rsidR="00FE1FB5" w:rsidRPr="00E0410C" w:rsidTr="0023637F">
        <w:tc>
          <w:tcPr>
            <w:tcW w:w="1816" w:type="dxa"/>
          </w:tcPr>
          <w:p w:rsidR="00FE1FB5" w:rsidRPr="00E0410C" w:rsidRDefault="00FE1FB5" w:rsidP="0023637F">
            <w:r w:rsidRPr="00E0410C">
              <w:t>Wskazania</w:t>
            </w:r>
          </w:p>
        </w:tc>
        <w:tc>
          <w:tcPr>
            <w:tcW w:w="8669" w:type="dxa"/>
          </w:tcPr>
          <w:p w:rsidR="00FE1FB5" w:rsidRPr="00E0410C" w:rsidRDefault="00FE1FB5" w:rsidP="00745217">
            <w:pPr>
              <w:numPr>
                <w:ilvl w:val="0"/>
                <w:numId w:val="6"/>
              </w:numPr>
              <w:spacing w:before="100" w:beforeAutospacing="1" w:after="100" w:afterAutospacing="1"/>
              <w:rPr>
                <w:rFonts w:eastAsia="Times New Roman" w:cs="Times New Roman"/>
                <w:lang w:eastAsia="pl-PL"/>
              </w:rPr>
            </w:pPr>
            <w:r w:rsidRPr="00E0410C">
              <w:rPr>
                <w:rFonts w:eastAsia="Times New Roman" w:cs="Times New Roman"/>
                <w:bCs/>
                <w:lang w:eastAsia="pl-PL"/>
              </w:rPr>
              <w:t xml:space="preserve">w stanach skurczowych mięśni gładkich </w:t>
            </w:r>
          </w:p>
          <w:p w:rsidR="00FE1FB5" w:rsidRPr="00E0410C" w:rsidRDefault="00FE1FB5" w:rsidP="0023637F">
            <w:pPr>
              <w:numPr>
                <w:ilvl w:val="0"/>
                <w:numId w:val="6"/>
              </w:numPr>
              <w:spacing w:before="100" w:beforeAutospacing="1" w:after="100" w:afterAutospacing="1"/>
              <w:rPr>
                <w:rFonts w:eastAsia="Times New Roman" w:cs="Times New Roman"/>
                <w:lang w:eastAsia="pl-PL"/>
              </w:rPr>
            </w:pPr>
            <w:r w:rsidRPr="00E0410C">
              <w:rPr>
                <w:rFonts w:eastAsia="Times New Roman" w:cs="Times New Roman"/>
                <w:bCs/>
                <w:lang w:eastAsia="pl-PL"/>
              </w:rPr>
              <w:t xml:space="preserve">oraz wspomagająco: </w:t>
            </w:r>
            <w:r w:rsidRPr="00E0410C">
              <w:rPr>
                <w:rFonts w:eastAsia="Times New Roman" w:cs="Times New Roman"/>
                <w:lang w:eastAsia="pl-PL"/>
              </w:rPr>
              <w:t xml:space="preserve">w stanach skurczowych mięśni gładkich przewodu pokarmowego chorobie wrzodowej żołądka i dwunastnicy, zapaleniu żołądka, zapaleniu jelit, zapaleniu okrężnicy, w stanach skurczowych wpustu i odźwiernika żołądka, zespole </w:t>
            </w:r>
            <w:r w:rsidRPr="00E0410C">
              <w:rPr>
                <w:rFonts w:eastAsia="Times New Roman" w:cs="Times New Roman"/>
                <w:lang w:eastAsia="pl-PL"/>
              </w:rPr>
              <w:lastRenderedPageBreak/>
              <w:t>drażliwego jelita grubego, zaparciach na tle spastycznym i wzdęciach jelit, zapaleniu trzustki.</w:t>
            </w:r>
          </w:p>
          <w:p w:rsidR="00FE1FB5" w:rsidRPr="00E0410C" w:rsidRDefault="00FE1FB5" w:rsidP="0023637F">
            <w:pPr>
              <w:numPr>
                <w:ilvl w:val="0"/>
                <w:numId w:val="6"/>
              </w:numPr>
              <w:spacing w:before="100" w:beforeAutospacing="1" w:after="100" w:afterAutospacing="1"/>
              <w:rPr>
                <w:rFonts w:eastAsia="Times New Roman" w:cs="Times New Roman"/>
                <w:lang w:eastAsia="pl-PL"/>
              </w:rPr>
            </w:pPr>
            <w:r w:rsidRPr="00E0410C">
              <w:rPr>
                <w:rFonts w:eastAsia="Times New Roman" w:cs="Times New Roman"/>
                <w:bCs/>
                <w:lang w:eastAsia="pl-PL"/>
              </w:rPr>
              <w:t xml:space="preserve">schorzeniach ginekologicznych: </w:t>
            </w:r>
            <w:r w:rsidRPr="00E0410C">
              <w:rPr>
                <w:rFonts w:eastAsia="Times New Roman" w:cs="Times New Roman"/>
                <w:lang w:eastAsia="pl-PL"/>
              </w:rPr>
              <w:t>w</w:t>
            </w:r>
            <w:r w:rsidRPr="00E0410C">
              <w:rPr>
                <w:rFonts w:eastAsia="Times New Roman" w:cs="Times New Roman"/>
                <w:bCs/>
                <w:lang w:eastAsia="pl-PL"/>
              </w:rPr>
              <w:t xml:space="preserve"> </w:t>
            </w:r>
            <w:r w:rsidRPr="00E0410C">
              <w:rPr>
                <w:rFonts w:eastAsia="Times New Roman" w:cs="Times New Roman"/>
                <w:lang w:eastAsia="pl-PL"/>
              </w:rPr>
              <w:t>bolesnym miesiączkowaniu.</w:t>
            </w:r>
          </w:p>
        </w:tc>
      </w:tr>
      <w:tr w:rsidR="00FE1FB5" w:rsidRPr="00E0410C" w:rsidTr="0023637F">
        <w:tc>
          <w:tcPr>
            <w:tcW w:w="1816" w:type="dxa"/>
          </w:tcPr>
          <w:p w:rsidR="00FE1FB5" w:rsidRPr="00E0410C" w:rsidRDefault="00FE1FB5" w:rsidP="0023637F">
            <w:r w:rsidRPr="00E0410C">
              <w:lastRenderedPageBreak/>
              <w:t>Dawkowanie</w:t>
            </w:r>
          </w:p>
        </w:tc>
        <w:tc>
          <w:tcPr>
            <w:tcW w:w="8669" w:type="dxa"/>
          </w:tcPr>
          <w:p w:rsidR="00745217" w:rsidRPr="00E0410C" w:rsidRDefault="00FE1FB5" w:rsidP="00745217">
            <w:pPr>
              <w:spacing w:before="100" w:beforeAutospacing="1" w:after="100" w:afterAutospacing="1"/>
            </w:pPr>
            <w:r w:rsidRPr="00E0410C">
              <w:rPr>
                <w:rStyle w:val="Strong"/>
                <w:b w:val="0"/>
              </w:rPr>
              <w:t xml:space="preserve">Dorośli: </w:t>
            </w:r>
            <w:r w:rsidRPr="00E0410C">
              <w:t>Dawka dobowa: 120 do 240 mg, w 2 - 3 dawkach podzielonych.</w:t>
            </w:r>
          </w:p>
          <w:p w:rsidR="00FE1FB5" w:rsidRPr="00E0410C" w:rsidRDefault="00FE1FB5" w:rsidP="00745217">
            <w:pPr>
              <w:spacing w:before="100" w:beforeAutospacing="1" w:after="100" w:afterAutospacing="1"/>
            </w:pPr>
            <w:r w:rsidRPr="00E0410C">
              <w:rPr>
                <w:rStyle w:val="Strong"/>
                <w:b w:val="0"/>
              </w:rPr>
              <w:t>Dzieci:</w:t>
            </w:r>
            <w:r w:rsidRPr="00E0410C">
              <w:t xml:space="preserve"> dawka dobowa dla dzieci w wieku od 6 do 12 lat wynosi 80 mg, w 2 dawkach podzielonych,</w:t>
            </w:r>
            <w:r w:rsidR="00745217" w:rsidRPr="00E0410C">
              <w:t xml:space="preserve"> </w:t>
            </w:r>
            <w:r w:rsidRPr="00E0410C">
              <w:t>dla dzieci powyżej 12 lat dawka dobowa wynosi 160 mg, w 2 - 4 dawkach podzielonych.</w:t>
            </w:r>
          </w:p>
        </w:tc>
      </w:tr>
      <w:tr w:rsidR="00FE1FB5" w:rsidRPr="00E0410C" w:rsidTr="0023637F">
        <w:tc>
          <w:tcPr>
            <w:tcW w:w="1816" w:type="dxa"/>
          </w:tcPr>
          <w:p w:rsidR="00FE1FB5" w:rsidRPr="00E0410C" w:rsidRDefault="00FE1FB5" w:rsidP="0023637F">
            <w:r w:rsidRPr="00E0410C">
              <w:t>Działania niepożądane</w:t>
            </w:r>
          </w:p>
        </w:tc>
        <w:tc>
          <w:tcPr>
            <w:tcW w:w="8669" w:type="dxa"/>
          </w:tcPr>
          <w:p w:rsidR="00FE1FB5" w:rsidRPr="00E0410C" w:rsidRDefault="00FE1FB5" w:rsidP="0023637F">
            <w:pPr>
              <w:spacing w:before="100" w:beforeAutospacing="1" w:after="100" w:afterAutospacing="1"/>
              <w:rPr>
                <w:rFonts w:eastAsia="Times New Roman" w:cs="Times New Roman"/>
                <w:lang w:eastAsia="pl-PL"/>
              </w:rPr>
            </w:pPr>
            <w:r w:rsidRPr="00E0410C">
              <w:t>nudności, zaparcie, ból i zawroty głowy, bezsenność, kołatanie serca, zmniejszenie ciśnienia krwi oraz mogą wystąpić reakcje alergiczne (obrzęk naczynioruchowy, pokrzywka, wysypka, świąd).</w:t>
            </w:r>
          </w:p>
        </w:tc>
      </w:tr>
      <w:tr w:rsidR="00FE1FB5" w:rsidRPr="00E0410C" w:rsidTr="0023637F">
        <w:tc>
          <w:tcPr>
            <w:tcW w:w="1816" w:type="dxa"/>
          </w:tcPr>
          <w:p w:rsidR="00FE1FB5" w:rsidRPr="00E0410C" w:rsidRDefault="00FE1FB5" w:rsidP="0023637F">
            <w:r w:rsidRPr="00E0410C">
              <w:t>Środki ostrożności</w:t>
            </w:r>
          </w:p>
        </w:tc>
        <w:tc>
          <w:tcPr>
            <w:tcW w:w="8669"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Ciąża i karmienie piersią: przed zastosowaniem leku należy poradzić się lekarza.</w:t>
            </w:r>
          </w:p>
        </w:tc>
      </w:tr>
      <w:tr w:rsidR="00FE1FB5" w:rsidRPr="00E0410C" w:rsidTr="0023637F">
        <w:tc>
          <w:tcPr>
            <w:tcW w:w="1816" w:type="dxa"/>
          </w:tcPr>
          <w:p w:rsidR="00FE1FB5" w:rsidRPr="00E0410C" w:rsidRDefault="00FE1FB5" w:rsidP="0023637F">
            <w:r w:rsidRPr="00E0410C">
              <w:t>Przeciwwskazania</w:t>
            </w:r>
          </w:p>
        </w:tc>
        <w:tc>
          <w:tcPr>
            <w:tcW w:w="8669" w:type="dxa"/>
          </w:tcPr>
          <w:p w:rsidR="00FE1FB5" w:rsidRPr="00E0410C" w:rsidRDefault="00745217" w:rsidP="0023637F">
            <w:pPr>
              <w:spacing w:before="100" w:beforeAutospacing="1" w:after="100" w:afterAutospacing="1"/>
              <w:rPr>
                <w:rFonts w:eastAsia="Times New Roman" w:cs="Times New Roman"/>
                <w:lang w:eastAsia="pl-PL"/>
              </w:rPr>
            </w:pPr>
            <w:r w:rsidRPr="00E0410C">
              <w:rPr>
                <w:rFonts w:eastAsia="Times New Roman" w:cs="Times New Roman"/>
                <w:lang w:eastAsia="pl-PL"/>
              </w:rPr>
              <w:t>N</w:t>
            </w:r>
            <w:r w:rsidR="00FE1FB5" w:rsidRPr="00E0410C">
              <w:rPr>
                <w:rFonts w:eastAsia="Times New Roman" w:cs="Times New Roman"/>
                <w:lang w:eastAsia="pl-PL"/>
              </w:rPr>
              <w:t>adwrażliwość (uczulenia) na drotawerynę lub którykolwiek składnik leku</w:t>
            </w:r>
            <w:r w:rsidR="000747B5" w:rsidRPr="00E0410C">
              <w:rPr>
                <w:rFonts w:eastAsia="Times New Roman" w:cs="Times New Roman"/>
                <w:lang w:eastAsia="pl-PL"/>
              </w:rPr>
              <w:t>, oraz</w:t>
            </w:r>
          </w:p>
          <w:p w:rsidR="00FE1FB5" w:rsidRPr="00E0410C" w:rsidRDefault="00FE1FB5" w:rsidP="0023637F">
            <w:pPr>
              <w:numPr>
                <w:ilvl w:val="0"/>
                <w:numId w:val="9"/>
              </w:numPr>
              <w:spacing w:before="100" w:beforeAutospacing="1" w:after="100" w:afterAutospacing="1"/>
              <w:rPr>
                <w:rFonts w:eastAsia="Times New Roman" w:cs="Times New Roman"/>
                <w:lang w:eastAsia="pl-PL"/>
              </w:rPr>
            </w:pPr>
            <w:r w:rsidRPr="00E0410C">
              <w:rPr>
                <w:rFonts w:eastAsia="Times New Roman" w:cs="Times New Roman"/>
                <w:lang w:eastAsia="pl-PL"/>
              </w:rPr>
              <w:t>ciężka niewydolności wątroby, nerek i serca</w:t>
            </w:r>
          </w:p>
          <w:p w:rsidR="00FE1FB5" w:rsidRPr="00E0410C" w:rsidRDefault="00FE1FB5" w:rsidP="0023637F">
            <w:pPr>
              <w:numPr>
                <w:ilvl w:val="0"/>
                <w:numId w:val="9"/>
              </w:numPr>
              <w:spacing w:before="100" w:beforeAutospacing="1" w:after="100" w:afterAutospacing="1"/>
              <w:rPr>
                <w:rFonts w:eastAsia="Times New Roman" w:cs="Times New Roman"/>
                <w:lang w:eastAsia="pl-PL"/>
              </w:rPr>
            </w:pPr>
            <w:r w:rsidRPr="00E0410C">
              <w:rPr>
                <w:rFonts w:eastAsia="Times New Roman" w:cs="Times New Roman"/>
                <w:lang w:eastAsia="pl-PL"/>
              </w:rPr>
              <w:t>blok przedsionkowo-komorowego II-III stopni</w:t>
            </w:r>
          </w:p>
          <w:p w:rsidR="00FE1FB5" w:rsidRPr="00E0410C" w:rsidRDefault="00FE1FB5" w:rsidP="0023637F">
            <w:pPr>
              <w:numPr>
                <w:ilvl w:val="0"/>
                <w:numId w:val="9"/>
              </w:numPr>
              <w:spacing w:before="100" w:beforeAutospacing="1" w:after="100" w:afterAutospacing="1"/>
              <w:rPr>
                <w:rFonts w:eastAsia="Times New Roman" w:cs="Times New Roman"/>
                <w:lang w:eastAsia="pl-PL"/>
              </w:rPr>
            </w:pPr>
            <w:r w:rsidRPr="00E0410C">
              <w:rPr>
                <w:rFonts w:eastAsia="Times New Roman" w:cs="Times New Roman"/>
                <w:lang w:eastAsia="pl-PL"/>
              </w:rPr>
              <w:t>należy stosować ostrożnie u pacjentów z niedociśnieniem.</w:t>
            </w:r>
          </w:p>
          <w:p w:rsidR="00FE1FB5" w:rsidRPr="00E0410C" w:rsidRDefault="00FE1FB5" w:rsidP="0023637F">
            <w:pPr>
              <w:numPr>
                <w:ilvl w:val="0"/>
                <w:numId w:val="9"/>
              </w:numPr>
              <w:spacing w:before="100" w:beforeAutospacing="1" w:after="100" w:afterAutospacing="1"/>
              <w:rPr>
                <w:rFonts w:eastAsia="Times New Roman" w:cs="Times New Roman"/>
                <w:lang w:eastAsia="pl-PL"/>
              </w:rPr>
            </w:pPr>
            <w:r w:rsidRPr="00E0410C">
              <w:rPr>
                <w:rFonts w:eastAsia="Times New Roman" w:cs="Times New Roman"/>
                <w:lang w:eastAsia="pl-PL"/>
              </w:rPr>
              <w:t>nie stosować u dzieci poniżej 6 roku życia</w:t>
            </w:r>
          </w:p>
        </w:tc>
      </w:tr>
    </w:tbl>
    <w:p w:rsidR="00FE1FB5" w:rsidRPr="00E0410C" w:rsidRDefault="00FE1FB5"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9E19CA" w:rsidRDefault="009E19CA" w:rsidP="00FE1FB5">
      <w:pPr>
        <w:rPr>
          <w:b/>
        </w:rPr>
      </w:pPr>
    </w:p>
    <w:p w:rsidR="009E19CA" w:rsidRDefault="009E19CA" w:rsidP="00FE1FB5">
      <w:pPr>
        <w:rPr>
          <w:b/>
        </w:rPr>
      </w:pPr>
    </w:p>
    <w:p w:rsidR="009E19CA" w:rsidRDefault="009E19CA" w:rsidP="00FE1FB5">
      <w:pPr>
        <w:rPr>
          <w:b/>
        </w:rPr>
      </w:pPr>
    </w:p>
    <w:p w:rsidR="009E19CA" w:rsidRDefault="009E19CA" w:rsidP="00FE1FB5">
      <w:pPr>
        <w:rPr>
          <w:b/>
        </w:rPr>
      </w:pPr>
    </w:p>
    <w:p w:rsidR="009E19CA" w:rsidRDefault="009E19CA" w:rsidP="00FE1FB5">
      <w:pPr>
        <w:rPr>
          <w:b/>
        </w:rPr>
      </w:pPr>
    </w:p>
    <w:p w:rsidR="009E19CA" w:rsidRDefault="009E19CA" w:rsidP="00FE1FB5">
      <w:pPr>
        <w:rPr>
          <w:b/>
        </w:rPr>
      </w:pPr>
    </w:p>
    <w:p w:rsidR="009E19CA" w:rsidRDefault="009E19CA" w:rsidP="00FE1FB5">
      <w:pPr>
        <w:rPr>
          <w:b/>
        </w:rPr>
      </w:pPr>
    </w:p>
    <w:p w:rsidR="009E19CA" w:rsidRDefault="009E19CA" w:rsidP="00FE1FB5">
      <w:pPr>
        <w:rPr>
          <w:b/>
        </w:rPr>
      </w:pPr>
    </w:p>
    <w:p w:rsidR="00836F5A" w:rsidRPr="00E0410C" w:rsidRDefault="00836F5A" w:rsidP="00FE1FB5">
      <w:pPr>
        <w:rPr>
          <w:b/>
        </w:rPr>
      </w:pPr>
      <w:r w:rsidRPr="00E0410C">
        <w:rPr>
          <w:b/>
        </w:rPr>
        <w:lastRenderedPageBreak/>
        <w:t>PREPARATY STOSOWANE W PRZEBIEGU GRYPY I BÓLU GARDŁA</w:t>
      </w:r>
    </w:p>
    <w:tbl>
      <w:tblPr>
        <w:tblStyle w:val="TableGrid"/>
        <w:tblW w:w="10627" w:type="dxa"/>
        <w:tblLook w:val="04A0" w:firstRow="1" w:lastRow="0" w:firstColumn="1" w:lastColumn="0" w:noHBand="0" w:noVBand="1"/>
      </w:tblPr>
      <w:tblGrid>
        <w:gridCol w:w="1816"/>
        <w:gridCol w:w="8811"/>
      </w:tblGrid>
      <w:tr w:rsidR="00836F5A" w:rsidRPr="00E0410C" w:rsidTr="0023637F">
        <w:tc>
          <w:tcPr>
            <w:tcW w:w="1816" w:type="dxa"/>
          </w:tcPr>
          <w:p w:rsidR="00836F5A" w:rsidRPr="00E0410C" w:rsidRDefault="00836F5A" w:rsidP="0023637F">
            <w:pPr>
              <w:rPr>
                <w:b/>
              </w:rPr>
            </w:pPr>
            <w:r w:rsidRPr="00E0410C">
              <w:rPr>
                <w:b/>
              </w:rPr>
              <w:t>Theraflu</w:t>
            </w:r>
          </w:p>
        </w:tc>
        <w:tc>
          <w:tcPr>
            <w:tcW w:w="8811" w:type="dxa"/>
          </w:tcPr>
          <w:p w:rsidR="00836F5A" w:rsidRPr="00E0410C" w:rsidRDefault="00836F5A" w:rsidP="0023637F">
            <w:pPr>
              <w:rPr>
                <w:b/>
              </w:rPr>
            </w:pPr>
            <w:r w:rsidRPr="00E0410C">
              <w:rPr>
                <w:b/>
              </w:rPr>
              <w:t>Leczenie objawowe w przebiegu grypy i przeziębienia</w:t>
            </w:r>
          </w:p>
        </w:tc>
      </w:tr>
      <w:tr w:rsidR="00836F5A" w:rsidRPr="00E0410C" w:rsidTr="0023637F">
        <w:tc>
          <w:tcPr>
            <w:tcW w:w="1816" w:type="dxa"/>
          </w:tcPr>
          <w:p w:rsidR="00836F5A" w:rsidRPr="00E0410C" w:rsidRDefault="00836F5A" w:rsidP="0023637F">
            <w:r w:rsidRPr="00E0410C">
              <w:t>Postać / skład</w:t>
            </w:r>
          </w:p>
        </w:tc>
        <w:tc>
          <w:tcPr>
            <w:tcW w:w="8811" w:type="dxa"/>
          </w:tcPr>
          <w:p w:rsidR="00836F5A" w:rsidRPr="00E0410C" w:rsidRDefault="00836F5A" w:rsidP="0023637F">
            <w:r w:rsidRPr="00E0410C">
              <w:t>1 saszetka rozpuszczalna w wodzie: paracetamol 650 mg, chlorowodorek fenylefryny 10 mg, maleinian feniraminy 20 mg</w:t>
            </w:r>
          </w:p>
        </w:tc>
      </w:tr>
      <w:tr w:rsidR="00836F5A" w:rsidRPr="00E0410C" w:rsidTr="0023637F">
        <w:tc>
          <w:tcPr>
            <w:tcW w:w="1816" w:type="dxa"/>
          </w:tcPr>
          <w:p w:rsidR="00836F5A" w:rsidRPr="00E0410C" w:rsidRDefault="00836F5A" w:rsidP="0023637F">
            <w:r w:rsidRPr="00E0410C">
              <w:t>Wskazania</w:t>
            </w:r>
          </w:p>
        </w:tc>
        <w:tc>
          <w:tcPr>
            <w:tcW w:w="8811" w:type="dxa"/>
          </w:tcPr>
          <w:p w:rsidR="00836F5A" w:rsidRPr="00E0410C" w:rsidRDefault="00836F5A" w:rsidP="0023637F">
            <w:r w:rsidRPr="00E0410C">
              <w:t>Preparat stosuje się w leczeniu objawów grypy i przeziębienia, takich jak: gorączka, dreszcze, bóle mięśni, bóle kostno-stawowe, bóle głowy, obrzęk i przekrwienie błony śluzowej nosa, nadmierna wydzielina z nosa, kichanie.</w:t>
            </w:r>
          </w:p>
        </w:tc>
      </w:tr>
      <w:tr w:rsidR="00836F5A" w:rsidRPr="00E0410C" w:rsidTr="0023637F">
        <w:tc>
          <w:tcPr>
            <w:tcW w:w="1816" w:type="dxa"/>
          </w:tcPr>
          <w:p w:rsidR="00836F5A" w:rsidRPr="00E0410C" w:rsidRDefault="00836F5A" w:rsidP="0023637F">
            <w:r w:rsidRPr="00E0410C">
              <w:t>Dawkowanie</w:t>
            </w:r>
          </w:p>
        </w:tc>
        <w:tc>
          <w:tcPr>
            <w:tcW w:w="8811" w:type="dxa"/>
          </w:tcPr>
          <w:p w:rsidR="00836F5A" w:rsidRPr="00E0410C" w:rsidRDefault="00836F5A" w:rsidP="000747B5">
            <w:r w:rsidRPr="00E0410C">
              <w:t>Dorośli i dzieci powyżej 12 lat: Zawartość jednej saszetki należy rozpuścić w 1 szklance gorącej wody. Przyjmować doustnie w postaci gorącego napoju. Jednorazowo można przyjąć zawartość 1 saszetki. W razie konieczności dalszego leczenia objawowego dawkę tę można powtórzyć po 4-6 godzinach. W ciągu doby można przyjąć zawartość 3 saszetek.</w:t>
            </w:r>
            <w:r w:rsidRPr="00E0410C">
              <w:br/>
              <w:t>Zgodnie z przedstawionym schematem dawkowania preparat można stosować nieprzerwanie wyłącznie przez 5 kolejnych dni.</w:t>
            </w:r>
          </w:p>
        </w:tc>
      </w:tr>
      <w:tr w:rsidR="00836F5A" w:rsidRPr="00E0410C" w:rsidTr="0023637F">
        <w:tc>
          <w:tcPr>
            <w:tcW w:w="1816" w:type="dxa"/>
          </w:tcPr>
          <w:p w:rsidR="00836F5A" w:rsidRPr="00E0410C" w:rsidRDefault="00836F5A" w:rsidP="0023637F">
            <w:r w:rsidRPr="00E0410C">
              <w:t>Działania niepożądane</w:t>
            </w:r>
          </w:p>
        </w:tc>
        <w:tc>
          <w:tcPr>
            <w:tcW w:w="8811" w:type="dxa"/>
          </w:tcPr>
          <w:p w:rsidR="00836F5A" w:rsidRPr="00E0410C" w:rsidRDefault="00836F5A" w:rsidP="0023637F">
            <w:r w:rsidRPr="00E0410C">
              <w:t>Pokrzywka, wysypki, napady astmy, zaparcia, biegunki, wzdęcia, nudności, wymioty, pieczenie w nadbrzuszu, suchość w jamie ustnej i gardle, senność, bóle i zawroty głowy, uczucie zmęczenia, drażliwość, nerwowość, wzrost ciśnienia krwi</w:t>
            </w:r>
          </w:p>
        </w:tc>
      </w:tr>
      <w:tr w:rsidR="00836F5A" w:rsidRPr="00E0410C" w:rsidTr="0023637F">
        <w:tc>
          <w:tcPr>
            <w:tcW w:w="1816" w:type="dxa"/>
          </w:tcPr>
          <w:p w:rsidR="00836F5A" w:rsidRPr="00E0410C" w:rsidRDefault="00836F5A" w:rsidP="0023637F">
            <w:r w:rsidRPr="00E0410C">
              <w:t>Środki ostrożności</w:t>
            </w:r>
          </w:p>
        </w:tc>
        <w:tc>
          <w:tcPr>
            <w:tcW w:w="8811" w:type="dxa"/>
          </w:tcPr>
          <w:p w:rsidR="00836F5A" w:rsidRPr="00E0410C" w:rsidRDefault="00836F5A" w:rsidP="0023637F">
            <w:pPr>
              <w:spacing w:before="100" w:beforeAutospacing="1" w:after="100" w:afterAutospacing="1"/>
            </w:pPr>
            <w:r w:rsidRPr="00E0410C">
              <w:t>Lek może powodować senność. Podczas stosowania preparatu nie należy prowadzić pojazdów i obsługiwać urządzeń mechanicznych. Uczucie senności może nasilać się u osób stosujących lek i przyjmujących leki nasenne lub pijących napoje alkoholowe.</w:t>
            </w:r>
          </w:p>
        </w:tc>
      </w:tr>
      <w:tr w:rsidR="00836F5A" w:rsidRPr="00E0410C" w:rsidTr="0023637F">
        <w:tc>
          <w:tcPr>
            <w:tcW w:w="1816" w:type="dxa"/>
          </w:tcPr>
          <w:p w:rsidR="00836F5A" w:rsidRPr="00E0410C" w:rsidRDefault="00836F5A" w:rsidP="0023637F">
            <w:r w:rsidRPr="00E0410C">
              <w:t>Przeciwwskazania</w:t>
            </w:r>
          </w:p>
        </w:tc>
        <w:tc>
          <w:tcPr>
            <w:tcW w:w="8811" w:type="dxa"/>
          </w:tcPr>
          <w:p w:rsidR="000747B5" w:rsidRPr="00E0410C" w:rsidRDefault="00836F5A" w:rsidP="005C0004">
            <w:pPr>
              <w:pStyle w:val="ListParagraph"/>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 xml:space="preserve">nadwrażliwość na którykolwiek </w:t>
            </w:r>
            <w:r w:rsidR="000747B5" w:rsidRPr="00E0410C">
              <w:rPr>
                <w:rFonts w:eastAsia="Times New Roman" w:cs="Times New Roman"/>
                <w:lang w:eastAsia="pl-PL"/>
              </w:rPr>
              <w:t>ze składników preparatu</w:t>
            </w:r>
          </w:p>
          <w:p w:rsidR="00836F5A" w:rsidRPr="00E0410C" w:rsidRDefault="00836F5A" w:rsidP="005C0004">
            <w:pPr>
              <w:pStyle w:val="ListParagraph"/>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ciężkie schorzenia układu krwionośnego, wątroby, nerek,</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nadciśnienie tętnicze,</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czynna choroba wrzodowa,</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cukrzyca,</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choroby płuc (w tym astma),</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jaskra z wąskim katem przesączania,</w:t>
            </w:r>
          </w:p>
          <w:p w:rsidR="00836F5A" w:rsidRPr="00E0410C" w:rsidRDefault="00836F5A" w:rsidP="0023637F">
            <w:pPr>
              <w:numPr>
                <w:ilvl w:val="0"/>
                <w:numId w:val="14"/>
              </w:numPr>
              <w:spacing w:before="100" w:beforeAutospacing="1" w:after="100" w:afterAutospacing="1"/>
              <w:rPr>
                <w:rFonts w:eastAsia="Times New Roman" w:cs="Times New Roman"/>
                <w:lang w:eastAsia="pl-PL"/>
              </w:rPr>
            </w:pPr>
            <w:r w:rsidRPr="00E0410C">
              <w:rPr>
                <w:rFonts w:eastAsia="Times New Roman" w:cs="Times New Roman"/>
                <w:lang w:eastAsia="pl-PL"/>
              </w:rPr>
              <w:t>padaczka,</w:t>
            </w:r>
          </w:p>
          <w:p w:rsidR="00836F5A" w:rsidRPr="00E0410C" w:rsidRDefault="00836F5A" w:rsidP="0023637F">
            <w:pPr>
              <w:numPr>
                <w:ilvl w:val="0"/>
                <w:numId w:val="14"/>
              </w:numPr>
              <w:spacing w:before="100" w:beforeAutospacing="1" w:after="100" w:afterAutospacing="1"/>
            </w:pPr>
            <w:r w:rsidRPr="00E0410C">
              <w:rPr>
                <w:rFonts w:eastAsia="Times New Roman" w:cs="Times New Roman"/>
                <w:lang w:eastAsia="pl-PL"/>
              </w:rPr>
              <w:t>ciąża i karmienia piersią</w:t>
            </w:r>
          </w:p>
          <w:p w:rsidR="00836F5A" w:rsidRPr="00E0410C" w:rsidRDefault="00836F5A" w:rsidP="0023637F">
            <w:pPr>
              <w:numPr>
                <w:ilvl w:val="0"/>
                <w:numId w:val="14"/>
              </w:numPr>
              <w:spacing w:before="100" w:beforeAutospacing="1" w:after="100" w:afterAutospacing="1"/>
            </w:pPr>
            <w:r w:rsidRPr="00E0410C">
              <w:rPr>
                <w:rFonts w:eastAsia="Times New Roman" w:cs="Times New Roman"/>
                <w:lang w:eastAsia="pl-PL"/>
              </w:rPr>
              <w:t>dzieci poniżej 12 lat.</w:t>
            </w:r>
          </w:p>
        </w:tc>
      </w:tr>
      <w:tr w:rsidR="00836F5A" w:rsidRPr="00E0410C" w:rsidTr="0023637F">
        <w:tc>
          <w:tcPr>
            <w:tcW w:w="1816" w:type="dxa"/>
          </w:tcPr>
          <w:p w:rsidR="00836F5A" w:rsidRPr="00E0410C" w:rsidRDefault="00836F5A" w:rsidP="0023637F">
            <w:pPr>
              <w:rPr>
                <w:b/>
              </w:rPr>
            </w:pPr>
            <w:r w:rsidRPr="00E0410C">
              <w:rPr>
                <w:b/>
              </w:rPr>
              <w:t>TANTUM VERDE</w:t>
            </w:r>
          </w:p>
        </w:tc>
        <w:tc>
          <w:tcPr>
            <w:tcW w:w="8811" w:type="dxa"/>
          </w:tcPr>
          <w:p w:rsidR="00836F5A" w:rsidRPr="00E0410C" w:rsidRDefault="00836F5A" w:rsidP="0023637F">
            <w:pPr>
              <w:rPr>
                <w:b/>
              </w:rPr>
            </w:pPr>
            <w:r w:rsidRPr="00E0410C">
              <w:t>Lek do stosowania w jamie ustnej i gardle o działaniu znieczulającym</w:t>
            </w:r>
          </w:p>
        </w:tc>
      </w:tr>
      <w:tr w:rsidR="00836F5A" w:rsidRPr="00E0410C" w:rsidTr="0023637F">
        <w:tc>
          <w:tcPr>
            <w:tcW w:w="1816" w:type="dxa"/>
          </w:tcPr>
          <w:p w:rsidR="00836F5A" w:rsidRPr="00E0410C" w:rsidRDefault="00836F5A" w:rsidP="0023637F">
            <w:r w:rsidRPr="00E0410C">
              <w:t>Postać / skład</w:t>
            </w:r>
          </w:p>
        </w:tc>
        <w:tc>
          <w:tcPr>
            <w:tcW w:w="8811" w:type="dxa"/>
          </w:tcPr>
          <w:p w:rsidR="00836F5A" w:rsidRPr="00E0410C" w:rsidRDefault="00836F5A" w:rsidP="0023637F">
            <w:r w:rsidRPr="00E0410C">
              <w:t>SPRAY, 100  ml roztworu zawiera substancję czynną 0,15 g benzydaminy chlorowodorku</w:t>
            </w:r>
          </w:p>
        </w:tc>
      </w:tr>
      <w:tr w:rsidR="00836F5A" w:rsidRPr="00E0410C" w:rsidTr="0023637F">
        <w:tc>
          <w:tcPr>
            <w:tcW w:w="1816" w:type="dxa"/>
          </w:tcPr>
          <w:p w:rsidR="00836F5A" w:rsidRPr="00E0410C" w:rsidRDefault="00836F5A" w:rsidP="0023637F">
            <w:r w:rsidRPr="00E0410C">
              <w:t>Wskazania</w:t>
            </w:r>
          </w:p>
        </w:tc>
        <w:tc>
          <w:tcPr>
            <w:tcW w:w="8811" w:type="dxa"/>
          </w:tcPr>
          <w:p w:rsidR="00836F5A" w:rsidRPr="00E0410C" w:rsidRDefault="00836F5A" w:rsidP="0023637F">
            <w:r w:rsidRPr="00E0410C">
              <w:t>Preparat stosowany w zapaleniu jamy ustnej i gardła (ból, zaczerwienienie, obrzęk), w zakażeniach bakteryjnych i wirusowych, zapaleniu krtani, zapaleniu błon śluzowych po radioterapii, stanach po zabiegach operacyjnych w laryngologii i stomatologii, a także po intubacji.</w:t>
            </w:r>
          </w:p>
        </w:tc>
      </w:tr>
      <w:tr w:rsidR="00836F5A" w:rsidRPr="00E0410C" w:rsidTr="0023637F">
        <w:tc>
          <w:tcPr>
            <w:tcW w:w="1816" w:type="dxa"/>
          </w:tcPr>
          <w:p w:rsidR="00836F5A" w:rsidRPr="00E0410C" w:rsidRDefault="00836F5A" w:rsidP="0023637F">
            <w:r w:rsidRPr="00E0410C">
              <w:t>Dawkowanie</w:t>
            </w:r>
          </w:p>
        </w:tc>
        <w:tc>
          <w:tcPr>
            <w:tcW w:w="8811" w:type="dxa"/>
          </w:tcPr>
          <w:p w:rsidR="00836F5A" w:rsidRPr="00E0410C" w:rsidRDefault="00836F5A" w:rsidP="0023637F">
            <w:pPr>
              <w:pStyle w:val="NormalWeb"/>
              <w:rPr>
                <w:rFonts w:asciiTheme="minorHAnsi" w:hAnsiTheme="minorHAnsi"/>
                <w:sz w:val="22"/>
                <w:szCs w:val="22"/>
              </w:rPr>
            </w:pPr>
            <w:r w:rsidRPr="00E0410C">
              <w:rPr>
                <w:rFonts w:asciiTheme="minorHAnsi" w:hAnsiTheme="minorHAnsi"/>
                <w:sz w:val="22"/>
                <w:szCs w:val="22"/>
              </w:rPr>
              <w:t>Dorośli: od 4 do 8 dawek (rozpyleń) leku od 2 do 6 razy na dobę.</w:t>
            </w:r>
          </w:p>
          <w:p w:rsidR="00836F5A" w:rsidRPr="00E0410C" w:rsidRDefault="00836F5A" w:rsidP="0023637F">
            <w:pPr>
              <w:pStyle w:val="NormalWeb"/>
              <w:rPr>
                <w:rFonts w:asciiTheme="minorHAnsi" w:hAnsiTheme="minorHAnsi"/>
                <w:sz w:val="22"/>
                <w:szCs w:val="22"/>
              </w:rPr>
            </w:pPr>
            <w:r w:rsidRPr="00E0410C">
              <w:rPr>
                <w:rFonts w:asciiTheme="minorHAnsi" w:hAnsiTheme="minorHAnsi"/>
                <w:sz w:val="22"/>
                <w:szCs w:val="22"/>
              </w:rPr>
              <w:t>Dzieci poniżej 6 lat: 1 dawka leku (rozpylenie) na 4 kg masy ciała, od 2 do 6 razy na dobę. Bez względu na masę ciała, jednorazowo nie należy przekraczać 4 dawek.</w:t>
            </w:r>
          </w:p>
          <w:p w:rsidR="00836F5A" w:rsidRPr="00E0410C" w:rsidRDefault="00836F5A" w:rsidP="0023637F">
            <w:pPr>
              <w:pStyle w:val="NormalWeb"/>
              <w:rPr>
                <w:rFonts w:asciiTheme="minorHAnsi" w:hAnsiTheme="minorHAnsi"/>
                <w:sz w:val="22"/>
                <w:szCs w:val="22"/>
              </w:rPr>
            </w:pPr>
            <w:r w:rsidRPr="00E0410C">
              <w:rPr>
                <w:rFonts w:asciiTheme="minorHAnsi" w:hAnsiTheme="minorHAnsi"/>
                <w:sz w:val="22"/>
                <w:szCs w:val="22"/>
              </w:rPr>
              <w:t xml:space="preserve">Dzieci od 6 do 12 lat: 4 dawki leku od 2 do 6 razy na dobę. </w:t>
            </w:r>
          </w:p>
          <w:p w:rsidR="00836F5A" w:rsidRPr="00E0410C" w:rsidRDefault="00836F5A" w:rsidP="0023637F">
            <w:pPr>
              <w:pStyle w:val="NormalWeb"/>
              <w:rPr>
                <w:rFonts w:asciiTheme="minorHAnsi" w:hAnsiTheme="minorHAnsi"/>
                <w:sz w:val="22"/>
                <w:szCs w:val="22"/>
              </w:rPr>
            </w:pPr>
            <w:r w:rsidRPr="00E0410C">
              <w:rPr>
                <w:rFonts w:asciiTheme="minorHAnsi" w:hAnsiTheme="minorHAnsi"/>
                <w:sz w:val="22"/>
                <w:szCs w:val="22"/>
              </w:rPr>
              <w:t>Dzieci powyżej 12 lat: od 4 do 8 dawek leku od 2 do 6 razy na dobę.</w:t>
            </w:r>
          </w:p>
        </w:tc>
      </w:tr>
      <w:tr w:rsidR="00836F5A" w:rsidRPr="00E0410C" w:rsidTr="0023637F">
        <w:tc>
          <w:tcPr>
            <w:tcW w:w="1816" w:type="dxa"/>
          </w:tcPr>
          <w:p w:rsidR="00836F5A" w:rsidRPr="00E0410C" w:rsidRDefault="00836F5A" w:rsidP="0023637F">
            <w:r w:rsidRPr="00E0410C">
              <w:t>Działania niepożądane</w:t>
            </w:r>
          </w:p>
        </w:tc>
        <w:tc>
          <w:tcPr>
            <w:tcW w:w="8811" w:type="dxa"/>
          </w:tcPr>
          <w:p w:rsidR="00836F5A" w:rsidRPr="00E0410C" w:rsidRDefault="00836F5A" w:rsidP="0023637F">
            <w:r w:rsidRPr="00E0410C">
              <w:t>reakcje anafilaktyczne, uczucie pieczenia błony śluzowej jamy ustnej, suchość w jamie ustnej, nudności oraz wymioty, reakcje nadwrażliwości, zaburzenia czucia, drętwienie, zawroty i bóle głowy, wysypka.</w:t>
            </w:r>
          </w:p>
        </w:tc>
      </w:tr>
      <w:tr w:rsidR="00836F5A" w:rsidRPr="00E0410C" w:rsidTr="0023637F">
        <w:tc>
          <w:tcPr>
            <w:tcW w:w="1816" w:type="dxa"/>
          </w:tcPr>
          <w:p w:rsidR="00836F5A" w:rsidRPr="00E0410C" w:rsidRDefault="00836F5A" w:rsidP="0023637F">
            <w:r w:rsidRPr="00E0410C">
              <w:t>Środki ostrożności</w:t>
            </w:r>
          </w:p>
        </w:tc>
        <w:tc>
          <w:tcPr>
            <w:tcW w:w="8811" w:type="dxa"/>
          </w:tcPr>
          <w:p w:rsidR="00836F5A" w:rsidRPr="00E0410C" w:rsidRDefault="00836F5A" w:rsidP="0023637F">
            <w:r w:rsidRPr="00E0410C">
              <w:t>Ciąża i karmienie piersią: przed zastosowaniem leku należy poradzić się lekarza.</w:t>
            </w:r>
          </w:p>
        </w:tc>
      </w:tr>
      <w:tr w:rsidR="00836F5A" w:rsidRPr="00E0410C" w:rsidTr="0023637F">
        <w:tc>
          <w:tcPr>
            <w:tcW w:w="1816" w:type="dxa"/>
          </w:tcPr>
          <w:p w:rsidR="00836F5A" w:rsidRPr="00E0410C" w:rsidRDefault="00836F5A" w:rsidP="0023637F">
            <w:r w:rsidRPr="00E0410C">
              <w:t>Przeciwwskazania</w:t>
            </w:r>
          </w:p>
        </w:tc>
        <w:tc>
          <w:tcPr>
            <w:tcW w:w="8811" w:type="dxa"/>
          </w:tcPr>
          <w:p w:rsidR="00836F5A" w:rsidRPr="00E0410C" w:rsidRDefault="00836F5A" w:rsidP="0023637F">
            <w:r w:rsidRPr="00E0410C">
              <w:t>Lek jest przeciwwskazany u pacjentów z nadwrażliwością na substancję czynną lub którykolwiek ze składników leku.</w:t>
            </w:r>
          </w:p>
        </w:tc>
      </w:tr>
      <w:tr w:rsidR="00836F5A" w:rsidRPr="00E0410C" w:rsidTr="0023637F">
        <w:tc>
          <w:tcPr>
            <w:tcW w:w="1816" w:type="dxa"/>
          </w:tcPr>
          <w:p w:rsidR="00836F5A" w:rsidRPr="00E0410C" w:rsidRDefault="00836F5A" w:rsidP="0023637F">
            <w:pPr>
              <w:rPr>
                <w:b/>
              </w:rPr>
            </w:pPr>
            <w:r w:rsidRPr="00E0410C">
              <w:rPr>
                <w:b/>
              </w:rPr>
              <w:t>NEOANGIN</w:t>
            </w:r>
          </w:p>
        </w:tc>
        <w:tc>
          <w:tcPr>
            <w:tcW w:w="8811" w:type="dxa"/>
          </w:tcPr>
          <w:p w:rsidR="00836F5A" w:rsidRPr="00E0410C" w:rsidRDefault="00836F5A" w:rsidP="0023637F">
            <w:pPr>
              <w:rPr>
                <w:b/>
              </w:rPr>
            </w:pPr>
            <w:r w:rsidRPr="00E0410C">
              <w:rPr>
                <w:b/>
              </w:rPr>
              <w:t>Lek zalecany do wspomagania leczenia stanów zapalnych jamy ustnej i gardła, przebiegających z objawami, takimi jak: ból gardła, zaczerwienienie, obrzęk.</w:t>
            </w:r>
          </w:p>
        </w:tc>
      </w:tr>
      <w:tr w:rsidR="00836F5A" w:rsidRPr="00E0410C" w:rsidTr="0023637F">
        <w:tc>
          <w:tcPr>
            <w:tcW w:w="1816" w:type="dxa"/>
          </w:tcPr>
          <w:p w:rsidR="00836F5A" w:rsidRPr="00E0410C" w:rsidRDefault="00836F5A" w:rsidP="0023637F">
            <w:r w:rsidRPr="00E0410C">
              <w:lastRenderedPageBreak/>
              <w:t>Postać / skład</w:t>
            </w:r>
          </w:p>
        </w:tc>
        <w:tc>
          <w:tcPr>
            <w:tcW w:w="8811" w:type="dxa"/>
          </w:tcPr>
          <w:p w:rsidR="00836F5A" w:rsidRPr="00E0410C" w:rsidRDefault="00836F5A" w:rsidP="0023637F">
            <w:pPr>
              <w:pStyle w:val="NormalWeb"/>
              <w:rPr>
                <w:rFonts w:asciiTheme="minorHAnsi" w:hAnsiTheme="minorHAnsi"/>
                <w:sz w:val="22"/>
                <w:szCs w:val="22"/>
              </w:rPr>
            </w:pPr>
            <w:r w:rsidRPr="00E0410C">
              <w:rPr>
                <w:rFonts w:asciiTheme="minorHAnsi" w:hAnsiTheme="minorHAnsi"/>
                <w:sz w:val="22"/>
                <w:szCs w:val="22"/>
              </w:rPr>
              <w:t>jedna tabletka do ssanie zawiera substancje czynne: alkohol 2,4-dichlorobenzylowy 1,2 mg, amylometakrezol 0,6 mg, lewomentol 5,72 mg.</w:t>
            </w:r>
          </w:p>
        </w:tc>
      </w:tr>
      <w:tr w:rsidR="00836F5A" w:rsidRPr="00E0410C" w:rsidTr="0023637F">
        <w:tc>
          <w:tcPr>
            <w:tcW w:w="1816" w:type="dxa"/>
          </w:tcPr>
          <w:p w:rsidR="00836F5A" w:rsidRPr="00E0410C" w:rsidRDefault="00836F5A" w:rsidP="0023637F">
            <w:r w:rsidRPr="00E0410C">
              <w:t>Wskazania</w:t>
            </w:r>
          </w:p>
        </w:tc>
        <w:tc>
          <w:tcPr>
            <w:tcW w:w="8811" w:type="dxa"/>
          </w:tcPr>
          <w:p w:rsidR="00836F5A" w:rsidRPr="00E0410C" w:rsidRDefault="00836F5A" w:rsidP="0023637F">
            <w:r w:rsidRPr="00E0410C">
              <w:t>Zakażenia błony śluzowej jamy ustnej i gardła.</w:t>
            </w:r>
          </w:p>
        </w:tc>
      </w:tr>
      <w:tr w:rsidR="00836F5A" w:rsidRPr="00E0410C" w:rsidTr="0023637F">
        <w:tc>
          <w:tcPr>
            <w:tcW w:w="1816" w:type="dxa"/>
          </w:tcPr>
          <w:p w:rsidR="00836F5A" w:rsidRPr="00E0410C" w:rsidRDefault="00836F5A" w:rsidP="0023637F">
            <w:r w:rsidRPr="00E0410C">
              <w:t>Dawkowanie</w:t>
            </w:r>
          </w:p>
        </w:tc>
        <w:tc>
          <w:tcPr>
            <w:tcW w:w="8811" w:type="dxa"/>
          </w:tcPr>
          <w:p w:rsidR="00836F5A" w:rsidRPr="00E0410C" w:rsidRDefault="00836F5A" w:rsidP="0023637F">
            <w:r w:rsidRPr="00E0410C">
              <w:t>Dorośli i dzieci w wieku powyżej 6 lat: należy powoli ssać 1 tabletkę co 2-3 godziny.</w:t>
            </w:r>
            <w:r w:rsidRPr="00E0410C">
              <w:br/>
              <w:t>Nie należy stosować więcej niż 6 tabletek na dobę.</w:t>
            </w:r>
          </w:p>
        </w:tc>
      </w:tr>
      <w:tr w:rsidR="00836F5A" w:rsidRPr="00E0410C" w:rsidTr="0023637F">
        <w:tc>
          <w:tcPr>
            <w:tcW w:w="1816" w:type="dxa"/>
          </w:tcPr>
          <w:p w:rsidR="00836F5A" w:rsidRPr="00E0410C" w:rsidRDefault="00836F5A" w:rsidP="0023637F">
            <w:r w:rsidRPr="00E0410C">
              <w:t>Działania niepożądane</w:t>
            </w:r>
          </w:p>
        </w:tc>
        <w:tc>
          <w:tcPr>
            <w:tcW w:w="8811" w:type="dxa"/>
          </w:tcPr>
          <w:p w:rsidR="00836F5A" w:rsidRPr="00E0410C" w:rsidRDefault="00836F5A" w:rsidP="0023637F">
            <w:r w:rsidRPr="00E0410C">
              <w:t>Może wystąpić podrażnienie błony śluzowej jamy ustnej i przewodu pokarmowego. Mogą również wystąpić reakcje alergiczne.</w:t>
            </w:r>
          </w:p>
        </w:tc>
      </w:tr>
      <w:tr w:rsidR="00836F5A" w:rsidRPr="00E0410C" w:rsidTr="0023637F">
        <w:tc>
          <w:tcPr>
            <w:tcW w:w="1816" w:type="dxa"/>
          </w:tcPr>
          <w:p w:rsidR="00836F5A" w:rsidRPr="00E0410C" w:rsidRDefault="00836F5A" w:rsidP="0023637F">
            <w:r w:rsidRPr="00E0410C">
              <w:t>Środki ostrożności</w:t>
            </w:r>
          </w:p>
        </w:tc>
        <w:tc>
          <w:tcPr>
            <w:tcW w:w="8811" w:type="dxa"/>
          </w:tcPr>
          <w:p w:rsidR="00836F5A" w:rsidRPr="00E0410C" w:rsidRDefault="00836F5A" w:rsidP="0023637F">
            <w:pPr>
              <w:spacing w:before="100" w:beforeAutospacing="1" w:after="100" w:afterAutospacing="1"/>
            </w:pPr>
            <w:r w:rsidRPr="00E0410C">
              <w:t xml:space="preserve">Nie stosować poniżej 6-go roku </w:t>
            </w:r>
            <w:r w:rsidR="008D6574" w:rsidRPr="00E0410C">
              <w:t>życia</w:t>
            </w:r>
          </w:p>
        </w:tc>
      </w:tr>
      <w:tr w:rsidR="00836F5A" w:rsidRPr="00E0410C" w:rsidTr="0023637F">
        <w:tc>
          <w:tcPr>
            <w:tcW w:w="1816" w:type="dxa"/>
          </w:tcPr>
          <w:p w:rsidR="00836F5A" w:rsidRPr="00E0410C" w:rsidRDefault="00836F5A" w:rsidP="0023637F">
            <w:r w:rsidRPr="00E0410C">
              <w:t>Przeciwwskazania</w:t>
            </w:r>
          </w:p>
        </w:tc>
        <w:tc>
          <w:tcPr>
            <w:tcW w:w="8811" w:type="dxa"/>
          </w:tcPr>
          <w:p w:rsidR="00836F5A" w:rsidRPr="00E0410C" w:rsidRDefault="00836F5A" w:rsidP="008D6574">
            <w:pPr>
              <w:pStyle w:val="NormalWeb"/>
              <w:rPr>
                <w:rFonts w:asciiTheme="minorHAnsi" w:hAnsiTheme="minorHAnsi"/>
                <w:sz w:val="22"/>
                <w:szCs w:val="22"/>
              </w:rPr>
            </w:pPr>
            <w:r w:rsidRPr="00E0410C">
              <w:rPr>
                <w:rFonts w:asciiTheme="minorHAnsi" w:hAnsiTheme="minorHAnsi"/>
                <w:sz w:val="22"/>
                <w:szCs w:val="22"/>
              </w:rPr>
              <w:t>W przypadku występowania reakcji alergicznej na k</w:t>
            </w:r>
            <w:r w:rsidR="008D6574" w:rsidRPr="00E0410C">
              <w:rPr>
                <w:rFonts w:asciiTheme="minorHAnsi" w:hAnsiTheme="minorHAnsi"/>
                <w:sz w:val="22"/>
                <w:szCs w:val="22"/>
              </w:rPr>
              <w:t xml:space="preserve">tórykolwiek ze składników leku. </w:t>
            </w:r>
            <w:r w:rsidRPr="00E0410C">
              <w:rPr>
                <w:rFonts w:asciiTheme="minorHAnsi" w:hAnsiTheme="minorHAnsi"/>
                <w:sz w:val="22"/>
                <w:szCs w:val="22"/>
              </w:rPr>
              <w:t>Występowanie u pacjenta nietolerancji fruktozy.</w:t>
            </w:r>
          </w:p>
        </w:tc>
      </w:tr>
    </w:tbl>
    <w:p w:rsidR="00836F5A" w:rsidRPr="00E0410C" w:rsidRDefault="00836F5A"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FE1FB5" w:rsidRPr="00E0410C" w:rsidRDefault="00FE1FB5" w:rsidP="00FE1FB5">
      <w:pPr>
        <w:rPr>
          <w:b/>
        </w:rPr>
      </w:pPr>
      <w:r w:rsidRPr="00E0410C">
        <w:rPr>
          <w:b/>
        </w:rPr>
        <w:lastRenderedPageBreak/>
        <w:t>PREPARATY O DZIAŁANIU USPOKAJAJĄCYM oraz  W PRZEBIEGU MENOPAUZY</w:t>
      </w:r>
    </w:p>
    <w:tbl>
      <w:tblPr>
        <w:tblStyle w:val="TableGrid"/>
        <w:tblW w:w="10627" w:type="dxa"/>
        <w:tblLook w:val="04A0" w:firstRow="1" w:lastRow="0" w:firstColumn="1" w:lastColumn="0" w:noHBand="0" w:noVBand="1"/>
      </w:tblPr>
      <w:tblGrid>
        <w:gridCol w:w="1816"/>
        <w:gridCol w:w="8811"/>
      </w:tblGrid>
      <w:tr w:rsidR="00FE1FB5" w:rsidRPr="00E0410C" w:rsidTr="0023637F">
        <w:tc>
          <w:tcPr>
            <w:tcW w:w="1816" w:type="dxa"/>
          </w:tcPr>
          <w:p w:rsidR="00FE1FB5" w:rsidRPr="00E0410C" w:rsidRDefault="00FE1FB5" w:rsidP="0023637F">
            <w:pPr>
              <w:rPr>
                <w:b/>
              </w:rPr>
            </w:pPr>
            <w:r w:rsidRPr="00E0410C">
              <w:rPr>
                <w:b/>
              </w:rPr>
              <w:t>HERBATKA Z MELISY</w:t>
            </w:r>
          </w:p>
        </w:tc>
        <w:tc>
          <w:tcPr>
            <w:tcW w:w="8811" w:type="dxa"/>
          </w:tcPr>
          <w:p w:rsidR="00FE1FB5" w:rsidRPr="00E0410C" w:rsidRDefault="00FE1FB5" w:rsidP="0023637F">
            <w:r w:rsidRPr="00E0410C">
              <w:t>Herbatka do sporządzania roztworu ziołowego o działaniu uspokajającym</w:t>
            </w: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 xml:space="preserve">Herbatka ziołowa w torebkach do zaparzania zawiera 1,2g wysuszonego i rozdrobnionego ziela melisy, rumianku, chmielu oraz mięty pieprzowej, męczennicy i trawy cytrynowej. </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Herbatka ziołowa jest polecana dla osób mających trudności w zasypianiu. Herbatka ziołowa wykazuje działanie relaksujące, ponadto wspiera fizjologiczny proces zasypiania.</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Pić 2 razy dziennie po 1 filiżance naparu, przygotowanego z 1 torebki.</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pPr>
              <w:spacing w:before="100" w:beforeAutospacing="1" w:after="100" w:afterAutospacing="1"/>
              <w:rPr>
                <w:rFonts w:eastAsia="Times New Roman" w:cs="Times New Roman"/>
                <w:lang w:eastAsia="pl-PL"/>
              </w:rPr>
            </w:pPr>
            <w:r w:rsidRPr="00E0410C">
              <w:rPr>
                <w:rFonts w:eastAsia="Times New Roman" w:cs="Times New Roman"/>
                <w:lang w:eastAsia="pl-PL"/>
              </w:rPr>
              <w:t>Nie należy przekraczać zalecanej dziennej porcji. Przechowywać w miejscu niedostępnym dla małych dzieci.</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pPr>
              <w:spacing w:before="100" w:beforeAutospacing="1" w:after="100" w:afterAutospacing="1"/>
            </w:pPr>
            <w:r w:rsidRPr="00E0410C">
              <w:rPr>
                <w:rFonts w:eastAsia="Times New Roman" w:cs="Times New Roman"/>
                <w:lang w:eastAsia="pl-PL"/>
              </w:rPr>
              <w:t>Uczulenie na ziele melisy.</w:t>
            </w:r>
          </w:p>
        </w:tc>
      </w:tr>
      <w:tr w:rsidR="00FE1FB5" w:rsidRPr="00E0410C" w:rsidTr="0023637F">
        <w:tc>
          <w:tcPr>
            <w:tcW w:w="1816" w:type="dxa"/>
          </w:tcPr>
          <w:p w:rsidR="00FE1FB5" w:rsidRPr="00E0410C" w:rsidRDefault="00FE1FB5" w:rsidP="0023637F">
            <w:pPr>
              <w:rPr>
                <w:b/>
              </w:rPr>
            </w:pPr>
            <w:r w:rsidRPr="00E0410C">
              <w:rPr>
                <w:b/>
              </w:rPr>
              <w:t>NERVOMIX CONTROL</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Suplement diety stosowany do kontroli napięcia nerwowego, łagodzenia rozdrażnienia, poprawy samopoczucia</w:t>
            </w:r>
          </w:p>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kapsułka zawiera wyciąg z ziela melisy, wyciąg z owoców głogu, wyciąg z kwiatów lawendy.</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0747B5">
            <w:r w:rsidRPr="00E0410C">
              <w:t>Przejściowe stany nadpobudliwości nerwowej, zaburzenia zasypiania, stany niepokoju. Produkt nie wpływa ujemnie na aktywność psychofizyczną i nie uzależnia. Polecany szczególnie dla osób, które znajdują się w okresach wzmożonego stresu.</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0747B5">
            <w:r w:rsidRPr="00E0410C">
              <w:t>Dorośli i młodzież: 1 kapsułka 3 razy dziennie.</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Sporadycznie mogą wystąpić reakcje nadwrażliwości na korzeń kozłka. Preparat może upośledzać zdolność prowadzenia pojazdów mechanicznych i obsługi urządzeń mechanicznych. Nie zaleca się przyjmowania preparatu 2 godziny przed planowanym prowadzeniem pojazdu lub obsługą maszyn.</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Nie należy przekraczać zalecanej dziennej porcji.</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Nie należy stosować u dzieci poniżej 11 roku życia. Nie należy stosować w przypadku nadwrażliwości na którykolwiek ze składników. Nie należy stosować u kobiet w ciąży i karmiących.</w:t>
            </w:r>
          </w:p>
        </w:tc>
      </w:tr>
      <w:tr w:rsidR="00FE1FB5" w:rsidRPr="00E0410C" w:rsidTr="0023637F">
        <w:tc>
          <w:tcPr>
            <w:tcW w:w="1816" w:type="dxa"/>
          </w:tcPr>
          <w:p w:rsidR="00FE1FB5" w:rsidRPr="00E0410C" w:rsidRDefault="00FE1FB5" w:rsidP="0023637F">
            <w:pPr>
              <w:rPr>
                <w:b/>
              </w:rPr>
            </w:pPr>
            <w:r w:rsidRPr="00E0410C">
              <w:rPr>
                <w:b/>
              </w:rPr>
              <w:t xml:space="preserve">CLIMEA FORTE </w:t>
            </w:r>
          </w:p>
        </w:tc>
        <w:tc>
          <w:tcPr>
            <w:tcW w:w="8811" w:type="dxa"/>
          </w:tcPr>
          <w:p w:rsidR="00FE1FB5" w:rsidRPr="00E0410C" w:rsidRDefault="00FE1FB5" w:rsidP="0023637F">
            <w:pPr>
              <w:rPr>
                <w:b/>
              </w:rPr>
            </w:pPr>
            <w:r w:rsidRPr="00E0410C">
              <w:rPr>
                <w:b/>
              </w:rPr>
              <w:t>Lek polecany dla kobiet w okresie menopauzy.</w:t>
            </w: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tabletka zawiera izoflawony z nasion soi, wyciąg z szyszek chmielu, nasiona lnu, wapń, witamina D3,  B6, E, kwas foliowy</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E0410C">
            <w:pPr>
              <w:spacing w:before="100" w:beforeAutospacing="1" w:after="100" w:afterAutospacing="1"/>
            </w:pPr>
            <w:r w:rsidRPr="00E0410C">
              <w:t xml:space="preserve">Składniki </w:t>
            </w:r>
            <w:r w:rsidRPr="00E0410C">
              <w:rPr>
                <w:rFonts w:eastAsia="Times New Roman" w:cs="Times New Roman"/>
                <w:lang w:eastAsia="pl-PL"/>
              </w:rPr>
              <w:t>łagodzą objawy menopauzy, chronią komórki przed wolnymi rodnikami, pomagają zachować zdrowe kości, wpływają na utrzymanie prawidłowego stężenia cholesterolu, pomagają kontrolować wagę ciała, przyczyniają się do zmniejszenia uczucia zmęczenia i znużenia.</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1 tabletka na dobę.</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 xml:space="preserve">Brak danych </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pPr>
              <w:spacing w:before="100" w:beforeAutospacing="1" w:after="100" w:afterAutospacing="1"/>
            </w:pPr>
            <w:r w:rsidRPr="00E0410C">
              <w:rPr>
                <w:rFonts w:eastAsia="Times New Roman" w:cs="Times New Roman"/>
                <w:lang w:eastAsia="pl-PL"/>
              </w:rPr>
              <w:t xml:space="preserve">Nie stosować u dzieci i młodzieży, ponieważ składniki mogą mieć szkodliwy wpływ na aktywność i skupienie uwagi u dzieci. </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E0410C">
            <w:pPr>
              <w:spacing w:before="100" w:beforeAutospacing="1" w:after="100" w:afterAutospacing="1"/>
            </w:pPr>
            <w:r w:rsidRPr="00E0410C">
              <w:rPr>
                <w:rFonts w:eastAsia="Times New Roman" w:cs="Times New Roman"/>
                <w:lang w:eastAsia="pl-PL"/>
              </w:rPr>
              <w:t>Nadwrażliwość na którykolwiek składnik produktu.</w:t>
            </w:r>
          </w:p>
        </w:tc>
      </w:tr>
    </w:tbl>
    <w:p w:rsidR="00FE1FB5" w:rsidRPr="00E0410C" w:rsidRDefault="00FE1FB5"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FE1FB5" w:rsidRPr="00E0410C" w:rsidRDefault="00FE1FB5" w:rsidP="00FE1FB5">
      <w:pPr>
        <w:rPr>
          <w:b/>
        </w:rPr>
      </w:pPr>
      <w:r w:rsidRPr="00E0410C">
        <w:rPr>
          <w:b/>
        </w:rPr>
        <w:lastRenderedPageBreak/>
        <w:t>PREPARATY ZWALCZAJĄCE NADKWAŚNOŚĆ, IPP, PRZECIWBIEGUNKOWE</w:t>
      </w:r>
    </w:p>
    <w:tbl>
      <w:tblPr>
        <w:tblStyle w:val="TableGrid"/>
        <w:tblW w:w="10627" w:type="dxa"/>
        <w:tblLook w:val="04A0" w:firstRow="1" w:lastRow="0" w:firstColumn="1" w:lastColumn="0" w:noHBand="0" w:noVBand="1"/>
      </w:tblPr>
      <w:tblGrid>
        <w:gridCol w:w="1816"/>
        <w:gridCol w:w="8811"/>
      </w:tblGrid>
      <w:tr w:rsidR="00FE1FB5" w:rsidRPr="00E0410C" w:rsidTr="0023637F">
        <w:tc>
          <w:tcPr>
            <w:tcW w:w="1816" w:type="dxa"/>
          </w:tcPr>
          <w:p w:rsidR="00FE1FB5" w:rsidRPr="00E0410C" w:rsidRDefault="00FE1FB5" w:rsidP="0023637F">
            <w:pPr>
              <w:rPr>
                <w:b/>
              </w:rPr>
            </w:pPr>
            <w:r w:rsidRPr="00E0410C">
              <w:rPr>
                <w:b/>
              </w:rPr>
              <w:t>RENNIE</w:t>
            </w:r>
          </w:p>
        </w:tc>
        <w:tc>
          <w:tcPr>
            <w:tcW w:w="8811" w:type="dxa"/>
          </w:tcPr>
          <w:p w:rsidR="00FE1FB5" w:rsidRPr="00E0410C" w:rsidRDefault="00FE1FB5" w:rsidP="0023637F">
            <w:pPr>
              <w:rPr>
                <w:b/>
              </w:rPr>
            </w:pPr>
            <w:r w:rsidRPr="00E0410C">
              <w:rPr>
                <w:b/>
              </w:rPr>
              <w:t>Lek zwalczający nadkwaśność</w:t>
            </w: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tabletka do ssania o smaku miętowym lub owocowym zawiera 680 mg wapnia węglanu i 80 mg magnezu węglanu ciężkiego</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Leczenie objawowe dolegliwości związanych z nadkwaśnością soku żołądkowego  takich jak: </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zgaga,</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niestrawność,</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wzdęcia,</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nudności,</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odbijanie,</w:t>
            </w:r>
          </w:p>
          <w:p w:rsidR="00FE1FB5" w:rsidRPr="00E0410C" w:rsidRDefault="00FE1FB5" w:rsidP="0023637F">
            <w:pPr>
              <w:numPr>
                <w:ilvl w:val="0"/>
                <w:numId w:val="16"/>
              </w:numPr>
              <w:spacing w:before="100" w:beforeAutospacing="1" w:after="100" w:afterAutospacing="1"/>
              <w:rPr>
                <w:rFonts w:eastAsia="Times New Roman" w:cs="Times New Roman"/>
                <w:lang w:eastAsia="pl-PL"/>
              </w:rPr>
            </w:pPr>
            <w:r w:rsidRPr="00E0410C">
              <w:rPr>
                <w:rFonts w:eastAsia="Times New Roman" w:cs="Times New Roman"/>
                <w:lang w:eastAsia="pl-PL"/>
              </w:rPr>
              <w:t>uczucie pełności lub ciężkości w nadbrzuszu.</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Ssać lub rozgryźć 1 do 2 tabletek po posiłku lub przed snem.</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Rennie Antacidum może być stosowany w okresie ciąży i karmienia piersią. Należy wtedy ściśle przestrzegać zalecanych dawek i stosować zgodnie ze wskazaniami.</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pPr>
              <w:rPr>
                <w:rFonts w:eastAsia="Times New Roman" w:cs="Times New Roman"/>
                <w:lang w:eastAsia="pl-PL"/>
              </w:rPr>
            </w:pPr>
            <w:r w:rsidRPr="00E0410C">
              <w:rPr>
                <w:rFonts w:eastAsia="Times New Roman" w:cs="Times New Roman"/>
                <w:lang w:eastAsia="pl-PL"/>
              </w:rPr>
              <w:t xml:space="preserve">Lek zawiera sacharozę i powinien być stosowany ostrożnie u osób z cukrzyca: jedna tabletka zawiera 475 mg cukru. </w:t>
            </w:r>
          </w:p>
          <w:p w:rsidR="00FE1FB5" w:rsidRPr="00E0410C" w:rsidRDefault="00FE1FB5" w:rsidP="0023637F">
            <w:pPr>
              <w:rPr>
                <w:rFonts w:eastAsia="Times New Roman" w:cs="Times New Roman"/>
                <w:lang w:eastAsia="pl-PL"/>
              </w:rPr>
            </w:pPr>
            <w:r w:rsidRPr="00E0410C">
              <w:rPr>
                <w:rFonts w:eastAsia="Times New Roman" w:cs="Times New Roman"/>
                <w:lang w:eastAsia="pl-PL"/>
              </w:rPr>
              <w:t>  Przechowywać w temp. poniżej 25</w:t>
            </w:r>
            <w:r w:rsidRPr="00E0410C">
              <w:rPr>
                <w:rFonts w:eastAsia="Times New Roman" w:cs="Times New Roman"/>
                <w:vertAlign w:val="superscript"/>
                <w:lang w:eastAsia="pl-PL"/>
              </w:rPr>
              <w:t>o</w:t>
            </w:r>
            <w:r w:rsidRPr="00E0410C">
              <w:rPr>
                <w:rFonts w:eastAsia="Times New Roman" w:cs="Times New Roman"/>
                <w:lang w:eastAsia="pl-PL"/>
              </w:rPr>
              <w:t xml:space="preserve">C. </w:t>
            </w:r>
          </w:p>
          <w:p w:rsidR="00FE1FB5" w:rsidRPr="00E0410C" w:rsidRDefault="00FE1FB5" w:rsidP="0023637F">
            <w:r w:rsidRPr="00E0410C">
              <w:rPr>
                <w:rFonts w:eastAsia="Times New Roman" w:cs="Times New Roman"/>
                <w:lang w:eastAsia="pl-PL"/>
              </w:rPr>
              <w:t>  Chronić przed wilgocią.</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pPr>
              <w:spacing w:before="100" w:beforeAutospacing="1" w:after="100" w:afterAutospacing="1"/>
              <w:rPr>
                <w:rFonts w:eastAsia="Times New Roman" w:cs="Times New Roman"/>
                <w:lang w:eastAsia="pl-PL"/>
              </w:rPr>
            </w:pPr>
            <w:r w:rsidRPr="00E0410C">
              <w:rPr>
                <w:rFonts w:eastAsia="Times New Roman" w:cs="Times New Roman"/>
                <w:lang w:eastAsia="pl-PL"/>
              </w:rPr>
              <w:t>Nadwrażliwość na węglan wapnia, węglan magnezu lub którąkolwiek substancję pomocniczą.</w:t>
            </w:r>
          </w:p>
          <w:p w:rsidR="00FE1FB5" w:rsidRPr="00E0410C" w:rsidRDefault="00FE1FB5" w:rsidP="0023637F">
            <w:pPr>
              <w:numPr>
                <w:ilvl w:val="0"/>
                <w:numId w:val="19"/>
              </w:numPr>
              <w:spacing w:before="100" w:beforeAutospacing="1" w:after="100" w:afterAutospacing="1"/>
              <w:rPr>
                <w:rFonts w:eastAsia="Times New Roman" w:cs="Times New Roman"/>
                <w:lang w:eastAsia="pl-PL"/>
              </w:rPr>
            </w:pPr>
            <w:r w:rsidRPr="00E0410C">
              <w:rPr>
                <w:rFonts w:eastAsia="Times New Roman" w:cs="Times New Roman"/>
                <w:lang w:eastAsia="pl-PL"/>
              </w:rPr>
              <w:t>Ciężka niewydolność nerek, hiperkalcemia.</w:t>
            </w:r>
          </w:p>
          <w:p w:rsidR="00FE1FB5" w:rsidRPr="00E0410C" w:rsidRDefault="00FE1FB5" w:rsidP="0023637F">
            <w:pPr>
              <w:numPr>
                <w:ilvl w:val="0"/>
                <w:numId w:val="19"/>
              </w:numPr>
              <w:spacing w:before="100" w:beforeAutospacing="1" w:after="100" w:afterAutospacing="1"/>
              <w:rPr>
                <w:rFonts w:eastAsia="Times New Roman" w:cs="Times New Roman"/>
                <w:lang w:eastAsia="pl-PL"/>
              </w:rPr>
            </w:pPr>
            <w:r w:rsidRPr="00E0410C">
              <w:rPr>
                <w:rFonts w:eastAsia="Times New Roman" w:cs="Times New Roman"/>
                <w:lang w:eastAsia="pl-PL"/>
              </w:rPr>
              <w:t>Wapniowa kamica nerkowa.</w:t>
            </w:r>
          </w:p>
        </w:tc>
      </w:tr>
      <w:tr w:rsidR="00FE1FB5" w:rsidRPr="00E0410C" w:rsidTr="0023637F">
        <w:tc>
          <w:tcPr>
            <w:tcW w:w="1816" w:type="dxa"/>
          </w:tcPr>
          <w:p w:rsidR="00FE1FB5" w:rsidRPr="00E0410C" w:rsidRDefault="00FE1FB5" w:rsidP="0023637F">
            <w:pPr>
              <w:rPr>
                <w:b/>
              </w:rPr>
            </w:pPr>
            <w:r w:rsidRPr="00E0410C">
              <w:rPr>
                <w:b/>
              </w:rPr>
              <w:t>COTROLOC CONTROL</w:t>
            </w:r>
          </w:p>
        </w:tc>
        <w:tc>
          <w:tcPr>
            <w:tcW w:w="8811" w:type="dxa"/>
          </w:tcPr>
          <w:p w:rsidR="00FE1FB5" w:rsidRPr="00E0410C" w:rsidRDefault="00FE1FB5" w:rsidP="0023637F">
            <w:pPr>
              <w:rPr>
                <w:b/>
              </w:rPr>
            </w:pPr>
            <w:r w:rsidRPr="00E0410C">
              <w:rPr>
                <w:b/>
              </w:rPr>
              <w:t>Lek stosowany w krótkotrwałym leczeniu objawów choroby refluksowej przełyku (np. zgaga, kwaśne odbijanie) u dorosłych.</w:t>
            </w: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tabletka zawiera 20 mg pantoprazolu</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Krótkotrwałe leczenie objawów choroby refluksowej przełyku (np. zgaga, zarzucanie treści żołądkowej) u dorosłych.</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przyjmować 1 tabletkę 20 mg na dobę. Nie należy przekraczać zalecanej dawki. Tabletki należy przyjmować w całości.</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pPr>
              <w:spacing w:before="100" w:beforeAutospacing="1" w:after="100" w:afterAutospacing="1"/>
            </w:pPr>
            <w:r w:rsidRPr="00E0410C">
              <w:t>obrzęk języka i (lub) gardła, problemy z przełykaniem, pokrzywka (wysypka jak po oparzeniu pokrzywą), problemy z oddychaniem, uczuleniowy obrzęk twarzy, ciężkie zawroty głowy z przyspieszonym biciem serca i obfite pocenie się.</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W okresie ciąży i karmienia piersią przed zastosowaniem należy skontaktować się z lekarzem.</w:t>
            </w:r>
          </w:p>
          <w:p w:rsidR="00FE1FB5" w:rsidRPr="00E0410C" w:rsidRDefault="00FE1FB5" w:rsidP="0023637F">
            <w:r w:rsidRPr="00E0410C">
              <w:t>Nie należy stosować u osób poniżej 18 roku życia.</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8D6574">
            <w:pPr>
              <w:pStyle w:val="NormalWeb"/>
              <w:rPr>
                <w:rFonts w:asciiTheme="minorHAnsi" w:hAnsiTheme="minorHAnsi"/>
                <w:sz w:val="22"/>
                <w:szCs w:val="22"/>
              </w:rPr>
            </w:pPr>
            <w:r w:rsidRPr="00E0410C">
              <w:rPr>
                <w:rFonts w:asciiTheme="minorHAnsi" w:hAnsiTheme="minorHAnsi"/>
                <w:sz w:val="22"/>
                <w:szCs w:val="22"/>
              </w:rPr>
              <w:t>Jeśli u pacjenta stwierdzono uczulenie (nadwr</w:t>
            </w:r>
            <w:r w:rsidR="008D6574" w:rsidRPr="00E0410C">
              <w:rPr>
                <w:rFonts w:asciiTheme="minorHAnsi" w:hAnsiTheme="minorHAnsi"/>
                <w:sz w:val="22"/>
                <w:szCs w:val="22"/>
              </w:rPr>
              <w:t>ażliwość) na pantoprazol. J</w:t>
            </w:r>
            <w:r w:rsidRPr="00E0410C">
              <w:rPr>
                <w:rFonts w:asciiTheme="minorHAnsi" w:hAnsiTheme="minorHAnsi"/>
                <w:sz w:val="22"/>
                <w:szCs w:val="22"/>
              </w:rPr>
              <w:t>eśli prowadzona jest jednocześnie terapia z zastosowaniem atazanawiru (w leczeniu zakażenia HIV).</w:t>
            </w:r>
          </w:p>
        </w:tc>
      </w:tr>
      <w:tr w:rsidR="00FE1FB5" w:rsidRPr="00E0410C" w:rsidTr="0023637F">
        <w:tc>
          <w:tcPr>
            <w:tcW w:w="1816" w:type="dxa"/>
          </w:tcPr>
          <w:p w:rsidR="00FE1FB5" w:rsidRPr="00E0410C" w:rsidRDefault="00FE1FB5" w:rsidP="0023637F">
            <w:pPr>
              <w:rPr>
                <w:b/>
              </w:rPr>
            </w:pPr>
            <w:r w:rsidRPr="00E0410C">
              <w:rPr>
                <w:b/>
              </w:rPr>
              <w:t>TANINAL</w:t>
            </w:r>
          </w:p>
        </w:tc>
        <w:tc>
          <w:tcPr>
            <w:tcW w:w="8811" w:type="dxa"/>
          </w:tcPr>
          <w:p w:rsidR="00FE1FB5" w:rsidRPr="00E0410C" w:rsidRDefault="00FE1FB5" w:rsidP="0023637F">
            <w:pPr>
              <w:rPr>
                <w:b/>
              </w:rPr>
            </w:pPr>
            <w:r w:rsidRPr="00E0410C">
              <w:rPr>
                <w:b/>
              </w:rPr>
              <w:t>lek przeciwbiegunkowy</w:t>
            </w: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w:t>
            </w:r>
            <w:r w:rsidRPr="00E0410C">
              <w:rPr>
                <w:u w:val="single"/>
              </w:rPr>
              <w:t xml:space="preserve"> tabletka zawiera: </w:t>
            </w:r>
            <w:r w:rsidRPr="00E0410C">
              <w:t>białczan taniny 500 mg</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Lek stosuje się tradycyjnie w biegunkach i zatruciach pokarmowych.</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Dorośli - doustnie 3 razy na dobę 1 do 2  tabletek. Dzieci powyżej 4 roku życia - 2 do 3 razy na dobę 1/2 do 1 tabletki. Tabletki wycisnąć z blistra, po zażyciu popić wodą. Preparat należy przyjmować między posiłkami do ustąpienia objawów.</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Nie stwierdzono działań niepożądanych, rzadko mogą wystąpić podrażnienia żołądka</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Nie znane jest działanie leku na kobiety w ciąży i karmiące piersią.</w:t>
            </w:r>
          </w:p>
          <w:p w:rsidR="00FE1FB5" w:rsidRPr="00E0410C" w:rsidRDefault="00FE1FB5" w:rsidP="0023637F">
            <w:r w:rsidRPr="00E0410C">
              <w:t>Nie stosować u dzieci poniżej 4 roku życia.</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Nie należy stosować leku równocześnie z innymi lekami. Pomiędzy przyjęciem Taninalu i innych leków powinno upłynąć co najmniej 2 godziny, ponieważ może on hamować wchłanianie innych leków.</w:t>
            </w:r>
          </w:p>
        </w:tc>
      </w:tr>
    </w:tbl>
    <w:p w:rsidR="00FE1FB5" w:rsidRPr="00E0410C" w:rsidRDefault="00FE1FB5" w:rsidP="00FE1FB5">
      <w:pPr>
        <w:rPr>
          <w:b/>
        </w:rPr>
      </w:pPr>
    </w:p>
    <w:p w:rsidR="00CE4351" w:rsidRDefault="00CE4351" w:rsidP="00FE1FB5">
      <w:pPr>
        <w:rPr>
          <w:b/>
        </w:rPr>
      </w:pPr>
    </w:p>
    <w:p w:rsidR="00FE1FB5" w:rsidRPr="00E0410C" w:rsidRDefault="00FE1FB5" w:rsidP="00FE1FB5">
      <w:pPr>
        <w:rPr>
          <w:b/>
        </w:rPr>
      </w:pPr>
      <w:r w:rsidRPr="00E0410C">
        <w:rPr>
          <w:b/>
        </w:rPr>
        <w:t>PREPARATY WSPOMAGAJĄCE TRAWIENIE I ODCHUDZANIE</w:t>
      </w:r>
    </w:p>
    <w:tbl>
      <w:tblPr>
        <w:tblStyle w:val="TableGrid"/>
        <w:tblW w:w="10627" w:type="dxa"/>
        <w:tblLook w:val="04A0" w:firstRow="1" w:lastRow="0" w:firstColumn="1" w:lastColumn="0" w:noHBand="0" w:noVBand="1"/>
      </w:tblPr>
      <w:tblGrid>
        <w:gridCol w:w="1816"/>
        <w:gridCol w:w="8811"/>
      </w:tblGrid>
      <w:tr w:rsidR="00FE1FB5" w:rsidRPr="00E0410C" w:rsidTr="006A4F64">
        <w:tc>
          <w:tcPr>
            <w:tcW w:w="1816" w:type="dxa"/>
          </w:tcPr>
          <w:p w:rsidR="00FE1FB5" w:rsidRPr="00E0410C" w:rsidRDefault="00FE1FB5" w:rsidP="0023637F">
            <w:pPr>
              <w:rPr>
                <w:b/>
              </w:rPr>
            </w:pPr>
            <w:r w:rsidRPr="00E0410C">
              <w:rPr>
                <w:b/>
              </w:rPr>
              <w:t>HEPASLIMIN</w:t>
            </w:r>
          </w:p>
        </w:tc>
        <w:tc>
          <w:tcPr>
            <w:tcW w:w="8811" w:type="dxa"/>
          </w:tcPr>
          <w:p w:rsidR="00FE1FB5" w:rsidRPr="00E0410C" w:rsidRDefault="00FE1FB5" w:rsidP="0023637F">
            <w:r w:rsidRPr="00E0410C">
              <w:t>suplement diety wspomagający utrzymanie zdrowej wątroby i zachowanie prawidłowej masy ciała.</w:t>
            </w:r>
          </w:p>
        </w:tc>
      </w:tr>
      <w:tr w:rsidR="00FE1FB5" w:rsidRPr="00E0410C" w:rsidTr="006A4F64">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1 tabletka zawiera wyciąg z ziela karczocha, wyciąg z liści ostrokrzewu paragwajskiego, cykorii i ostryżu długiego</w:t>
            </w:r>
          </w:p>
        </w:tc>
      </w:tr>
      <w:tr w:rsidR="00FE1FB5" w:rsidRPr="00E0410C" w:rsidTr="006A4F64">
        <w:tc>
          <w:tcPr>
            <w:tcW w:w="1816" w:type="dxa"/>
          </w:tcPr>
          <w:p w:rsidR="00FE1FB5" w:rsidRPr="00E0410C" w:rsidRDefault="00FE1FB5" w:rsidP="0023637F">
            <w:r w:rsidRPr="00E0410C">
              <w:t>Wskazania</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u w:val="single"/>
              </w:rPr>
              <w:t xml:space="preserve">Składniki suplementu diety wspomagają: </w:t>
            </w:r>
            <w:r w:rsidRPr="00E0410C">
              <w:rPr>
                <w:rFonts w:asciiTheme="minorHAnsi" w:hAnsiTheme="minorHAnsi"/>
                <w:sz w:val="22"/>
                <w:szCs w:val="22"/>
              </w:rPr>
              <w:t>utrzymanie zdrowej wątroby, zachowanie prawidłowej masy ciała, prawidłowe trawienie.</w:t>
            </w:r>
          </w:p>
        </w:tc>
      </w:tr>
      <w:tr w:rsidR="00FE1FB5" w:rsidRPr="00E0410C" w:rsidTr="006A4F64">
        <w:tc>
          <w:tcPr>
            <w:tcW w:w="1816" w:type="dxa"/>
          </w:tcPr>
          <w:p w:rsidR="00FE1FB5" w:rsidRPr="00E0410C" w:rsidRDefault="00FE1FB5" w:rsidP="0023637F">
            <w:r w:rsidRPr="00E0410C">
              <w:t>Dawkowanie</w:t>
            </w:r>
          </w:p>
        </w:tc>
        <w:tc>
          <w:tcPr>
            <w:tcW w:w="8811" w:type="dxa"/>
          </w:tcPr>
          <w:p w:rsidR="00FE1FB5" w:rsidRPr="00E0410C" w:rsidRDefault="00FE1FB5" w:rsidP="0023637F">
            <w:pPr>
              <w:pStyle w:val="NormalWeb"/>
              <w:rPr>
                <w:rFonts w:asciiTheme="minorHAnsi" w:hAnsiTheme="minorHAnsi"/>
                <w:sz w:val="22"/>
                <w:szCs w:val="22"/>
              </w:rPr>
            </w:pPr>
            <w:r w:rsidRPr="00E0410C">
              <w:rPr>
                <w:rFonts w:asciiTheme="minorHAnsi" w:hAnsiTheme="minorHAnsi"/>
                <w:sz w:val="22"/>
                <w:szCs w:val="22"/>
              </w:rPr>
              <w:t>6 tabletek dziennie, popijając wodą. Preparat zaleca się spożywać po posiłku.</w:t>
            </w:r>
          </w:p>
        </w:tc>
      </w:tr>
      <w:tr w:rsidR="00FE1FB5" w:rsidRPr="00E0410C" w:rsidTr="006A4F64">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Brak</w:t>
            </w:r>
          </w:p>
        </w:tc>
      </w:tr>
      <w:tr w:rsidR="00FE1FB5" w:rsidRPr="00E0410C" w:rsidTr="006A4F64">
        <w:tc>
          <w:tcPr>
            <w:tcW w:w="1816" w:type="dxa"/>
          </w:tcPr>
          <w:p w:rsidR="00FE1FB5" w:rsidRPr="00E0410C" w:rsidRDefault="00FE1FB5" w:rsidP="0023637F">
            <w:r w:rsidRPr="00E0410C">
              <w:t>Środki ostrożności</w:t>
            </w:r>
          </w:p>
        </w:tc>
        <w:tc>
          <w:tcPr>
            <w:tcW w:w="8811" w:type="dxa"/>
          </w:tcPr>
          <w:p w:rsidR="00FE1FB5" w:rsidRPr="00E0410C" w:rsidRDefault="00FE1FB5" w:rsidP="0023637F">
            <w:pPr>
              <w:spacing w:before="100" w:beforeAutospacing="1" w:after="100" w:afterAutospacing="1"/>
            </w:pPr>
            <w:r w:rsidRPr="00E0410C">
              <w:rPr>
                <w:rFonts w:eastAsia="Times New Roman" w:cs="Times New Roman"/>
                <w:lang w:eastAsia="pl-PL"/>
              </w:rPr>
              <w:t>W okresie ciąży i karmienia piersią przed zastosowaniem produktu należy skonsultować się z lekarzem.</w:t>
            </w:r>
          </w:p>
        </w:tc>
      </w:tr>
      <w:tr w:rsidR="00FE1FB5" w:rsidRPr="00E0410C" w:rsidTr="006A4F64">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rPr>
                <w:rFonts w:eastAsia="Times New Roman" w:cs="Times New Roman"/>
                <w:lang w:eastAsia="pl-PL"/>
              </w:rPr>
              <w:t>Uczulenie na którykolwiek ze składników produktu.</w:t>
            </w:r>
          </w:p>
        </w:tc>
      </w:tr>
    </w:tbl>
    <w:p w:rsidR="00FE1FB5" w:rsidRPr="00E0410C" w:rsidRDefault="00FE1FB5" w:rsidP="00FE1FB5"/>
    <w:p w:rsidR="00CE4351" w:rsidRPr="00E0410C" w:rsidRDefault="00CE4351" w:rsidP="00FE1FB5">
      <w:pPr>
        <w:rPr>
          <w:b/>
        </w:rPr>
      </w:pPr>
    </w:p>
    <w:p w:rsidR="00CE4351" w:rsidRPr="00E0410C" w:rsidRDefault="00CE4351"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5C0004" w:rsidRDefault="005C0004" w:rsidP="00FE1FB5">
      <w:pPr>
        <w:rPr>
          <w:b/>
        </w:rPr>
      </w:pPr>
    </w:p>
    <w:p w:rsidR="00FE1FB5" w:rsidRPr="00E0410C" w:rsidRDefault="00FE1FB5" w:rsidP="00FE1FB5">
      <w:pPr>
        <w:rPr>
          <w:b/>
        </w:rPr>
      </w:pPr>
      <w:r w:rsidRPr="00E0410C">
        <w:rPr>
          <w:b/>
        </w:rPr>
        <w:t>PREPARATY DO STOSOWANIA MIEJSCOWEGO</w:t>
      </w:r>
    </w:p>
    <w:tbl>
      <w:tblPr>
        <w:tblStyle w:val="TableGrid"/>
        <w:tblW w:w="10627" w:type="dxa"/>
        <w:tblLook w:val="04A0" w:firstRow="1" w:lastRow="0" w:firstColumn="1" w:lastColumn="0" w:noHBand="0" w:noVBand="1"/>
      </w:tblPr>
      <w:tblGrid>
        <w:gridCol w:w="1816"/>
        <w:gridCol w:w="8811"/>
      </w:tblGrid>
      <w:tr w:rsidR="00FE1FB5" w:rsidRPr="00E0410C" w:rsidTr="0023637F">
        <w:tc>
          <w:tcPr>
            <w:tcW w:w="1816" w:type="dxa"/>
          </w:tcPr>
          <w:p w:rsidR="00FE1FB5" w:rsidRPr="00E0410C" w:rsidRDefault="00FE1FB5" w:rsidP="0023637F">
            <w:pPr>
              <w:rPr>
                <w:b/>
              </w:rPr>
            </w:pPr>
            <w:r w:rsidRPr="00E0410C">
              <w:rPr>
                <w:b/>
              </w:rPr>
              <w:t>FENISTIL</w:t>
            </w:r>
          </w:p>
        </w:tc>
        <w:tc>
          <w:tcPr>
            <w:tcW w:w="8811" w:type="dxa"/>
          </w:tcPr>
          <w:p w:rsidR="00FE1FB5" w:rsidRPr="00E0410C" w:rsidRDefault="00FE1FB5" w:rsidP="0023637F">
            <w:pPr>
              <w:rPr>
                <w:b/>
              </w:rPr>
            </w:pPr>
          </w:p>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Żel; Maleinian dimetindenu</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Działanie miejscowe znieczulające, przeciwobrzękowo, przeciwświądowo, przeciwalergicznie. Świąd w przebiegu dermatoz, pokrzywka, ukąszenia owadów, oparzenia słoneczne, powierzchowne oparzenia skóry (pierwszego stopnia).</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&gt;Zewnętrznie, miejscowo. Żel nanosi się 2-4 razy dziennie na zmienioną chorobowo lub swędzącą skórę. Działanie preparatu rozpoczyna się już po kilku minutach od zastosowania.</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&gt;Niekiedy przemijające, łagodne pieczenie i suchość skóry. Obserwowano pojedyncze przypadki skórnych reakcji nadwrażliwości.</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W przypadku stosowania na duże powierzchnie skóry należy unikać nadmiernej ekspozycji na promieniowanie UVA/UVB. U niemowląt i małych dzieci nie stosować na duże powierzchnie skóry, zwłaszcza uszkodzonej lub zmienionej zapalnie, ani w przypadku oparzeń II i III stopnia.</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Nie stosować w I trymestrze ciąży, w pozostałym okresie ciąży oraz w czasie karmienia piersią unikać stosowania na rozległe powierzchnie skóry.</w:t>
            </w:r>
          </w:p>
        </w:tc>
      </w:tr>
      <w:tr w:rsidR="00FE1FB5" w:rsidRPr="00E0410C" w:rsidTr="0023637F">
        <w:tc>
          <w:tcPr>
            <w:tcW w:w="1816" w:type="dxa"/>
          </w:tcPr>
          <w:p w:rsidR="00FE1FB5" w:rsidRPr="00E0410C" w:rsidRDefault="00FE1FB5" w:rsidP="0023637F">
            <w:pPr>
              <w:rPr>
                <w:b/>
              </w:rPr>
            </w:pPr>
            <w:r w:rsidRPr="00E0410C">
              <w:rPr>
                <w:b/>
              </w:rPr>
              <w:t>TRIBIOTIC</w:t>
            </w:r>
          </w:p>
        </w:tc>
        <w:tc>
          <w:tcPr>
            <w:tcW w:w="8811" w:type="dxa"/>
          </w:tcPr>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Maść; polimiksyna B, neomycyna, bacytracyna</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Działanie bakteriobójcze. Niewielkie rany, zadrapania i skaleczenia zagrożone lub powikłane zakażeniem bakteryjnym.</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&gt;Zewnętrznie, miejscowo na skórę. Niewielką ilość maści nanosi się 1-3 razy dziennie na oczyszczone miejsce zranienia. Zaleca się stosować nie dłużej niż 7 dni.</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&gt;Niekiedy mogą wystąpić, wysypka skórna, świąd i nadkażenia opornymi szczepami bakterii lub drożdżakami Candida. Stosowanie na duże powierzchnie uszkodzonej skóry może mieć toksyczne działanie na nerki, narząd słuchu i na układ nerwowy wskutek wchłaniania się neomycyny.</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Uwaga! Bardzo ostrożnie stosować na duże powierzchnie uszkodzonej skóry, sączące się zmiany chorobowe i owrzodzenia żylakowe. Nie stosować długotrwale ze względu na rozwijającą się oporność bakterii i możliwość toksycznego działania oraz nadkażenia drożdżakami.</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Gdy masz nadwrażliwość na składniki preparatu, ciężkie zaburzenia funkcji nerek, uszkodzenia narządu słuchu. Gdy przyjmujesz antybiotyki aminoglikozydowe, cefalosporyny. Gdy jesteś lub przypuszczasz, że jesteś w ciąży, a także gdy karmisz piersią.</w:t>
            </w:r>
          </w:p>
        </w:tc>
      </w:tr>
      <w:tr w:rsidR="00FE1FB5" w:rsidRPr="00E0410C" w:rsidTr="0023637F">
        <w:tc>
          <w:tcPr>
            <w:tcW w:w="1816" w:type="dxa"/>
          </w:tcPr>
          <w:p w:rsidR="00FE1FB5" w:rsidRPr="00E0410C" w:rsidRDefault="00FE1FB5" w:rsidP="0023637F">
            <w:pPr>
              <w:rPr>
                <w:b/>
              </w:rPr>
            </w:pPr>
            <w:r w:rsidRPr="00E0410C">
              <w:rPr>
                <w:b/>
              </w:rPr>
              <w:t>SUDOCREM</w:t>
            </w:r>
          </w:p>
        </w:tc>
        <w:tc>
          <w:tcPr>
            <w:tcW w:w="8811" w:type="dxa"/>
          </w:tcPr>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Krem; tlenek cynku, parafina, lanolina</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Sudocrem jest antyseptycznym kremem dla dzieci i dorosłych z problemami skórnymi. Preparat jest szczególnie zalecany do pielęgnacji skóry niemowląt, jako krem chroniący przed pieluszkowym zapaleniem skóry. Wskazany jest również w profilaktyce i łagodzeniu skutków zapalenia skóry w przebiegu nietrzymania moczu oraz odleżyn. Sudocrem zawiera alkohol benzylowy o działaniu odkażającym oraz tlenek cynku o właściwościach osłaniających i ściągających. Działa łagodząco i ochronnie na skórę, tworzy barierę zabezpieczającą skórę przed drażniącymi czynnikami (np. moczem w przypadku odpieluszkowego odparzenia skóry u niemowląt), co zapobiega nawrotom objawów.</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Stosować na umytą i osuszoną skórę. Cienką warstwą kremu pokryć narażone miejsce. Powtarzać w miarę potrzeb. Regularne stosowanie, nawet po ustąpieniu objawów, zapobiega ich nawrotom oraz zapewnia skuteczną pielęgnację.</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Nie należy dopuszczać do kontaktu preparatu z oczami i błonami śluzowymi. Produkt przeznaczony jest tylko do użytku zewnętrznego.</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pPr>
              <w:rPr>
                <w:b/>
              </w:rPr>
            </w:pPr>
            <w:r w:rsidRPr="00E0410C">
              <w:rPr>
                <w:b/>
              </w:rPr>
              <w:t>PANTHENOL</w:t>
            </w:r>
          </w:p>
        </w:tc>
        <w:tc>
          <w:tcPr>
            <w:tcW w:w="8811" w:type="dxa"/>
          </w:tcPr>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 xml:space="preserve">Aerozol; pianka. Dekspantenol </w:t>
            </w:r>
          </w:p>
        </w:tc>
      </w:tr>
      <w:tr w:rsidR="00FE1FB5" w:rsidRPr="00E0410C" w:rsidTr="0023637F">
        <w:tc>
          <w:tcPr>
            <w:tcW w:w="1816" w:type="dxa"/>
          </w:tcPr>
          <w:p w:rsidR="00FE1FB5" w:rsidRPr="00E0410C" w:rsidRDefault="00FE1FB5" w:rsidP="0023637F">
            <w:r w:rsidRPr="00E0410C">
              <w:lastRenderedPageBreak/>
              <w:t>Wskazania</w:t>
            </w:r>
          </w:p>
        </w:tc>
        <w:tc>
          <w:tcPr>
            <w:tcW w:w="8811" w:type="dxa"/>
          </w:tcPr>
          <w:p w:rsidR="00FE1FB5" w:rsidRPr="00E0410C" w:rsidRDefault="00FE1FB5" w:rsidP="0023637F">
            <w:r w:rsidRPr="00E0410C">
              <w:t>Wspomagająco w leczeniu drobnych uszkodzeń skóry (oparzenia słoneczne, uszkodzenia i otarcia naskórka, powierzchniowe rany), suchej skóry, zapaleń skóry, opryszczki wargowej, chorób pęcherzowych skóry z ubytkami naskórka.</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Stosować raz lub kilka razy na dobę na zmienioną chorobowo skórę. Pojemnik należy trzymać pionowo z głowicą na górze. Przed każdym użyciem należy mocno wstrząsnąć pojemnik, szczególnie jeśli produkt nie był ostatnio używany.</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W pojedynczych przypadkach skórne objawy nadwrażliwości.</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Jeśli lek jest stosowany w okolicach twarzy, nie powinien być stosowany bezpośrednio. Lek należy rozpylić na dłoń i rozprowadzić w miejscu urazu na twarzy. Nie stosować na oczy. Nie stosować bezpośrednio do ust i jamy nosowej.</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pPr>
              <w:rPr>
                <w:b/>
              </w:rPr>
            </w:pPr>
            <w:r w:rsidRPr="00E0410C">
              <w:rPr>
                <w:b/>
              </w:rPr>
              <w:t>OCTENISEPT</w:t>
            </w:r>
          </w:p>
        </w:tc>
        <w:tc>
          <w:tcPr>
            <w:tcW w:w="8811" w:type="dxa"/>
          </w:tcPr>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Płyn do dezynfekcji; octenidyna, etanol</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Działanie antyseptyczne; Preparat przeznaczony do krótkich zabiegów odkażających związanych z raną, błoną śluzową i graniczącą z nią skórą, przed zabiegami diagnostycznymi i operacyjnymi w dermatologii, przy pielęgnacji ran i szwów pooperacyjnych.</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Zewnętrznie. Octenisept stosowany jest bez rozcieńczenia. Partie skóry, opracowane rany i błony śluzowe, odkażać preparatem z atomizera lub jałowym gazikiem nasączonym preparatem. Przestrzegać wymaganego czasu oddziaływania minimum 1 min., wskazane przedłużenie czasu do 5 minut.</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Nie zaleca się stosowania preparatu Octenisept do wnętrza ucha, do płukania jam ciała (opłucna, otrzewna) oraz nie należy dopuszczać do połykania preparatu.</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Brak</w:t>
            </w:r>
          </w:p>
        </w:tc>
      </w:tr>
      <w:tr w:rsidR="00FE1FB5" w:rsidRPr="00E0410C" w:rsidTr="0023637F">
        <w:tc>
          <w:tcPr>
            <w:tcW w:w="1816" w:type="dxa"/>
          </w:tcPr>
          <w:p w:rsidR="00FE1FB5" w:rsidRPr="00E0410C" w:rsidRDefault="00FE1FB5" w:rsidP="0023637F">
            <w:pPr>
              <w:rPr>
                <w:b/>
              </w:rPr>
            </w:pPr>
            <w:r w:rsidRPr="00E0410C">
              <w:rPr>
                <w:b/>
              </w:rPr>
              <w:t>DIKLOFENAK</w:t>
            </w:r>
          </w:p>
        </w:tc>
        <w:tc>
          <w:tcPr>
            <w:tcW w:w="8811" w:type="dxa"/>
          </w:tcPr>
          <w:p w:rsidR="00FE1FB5" w:rsidRPr="00E0410C" w:rsidRDefault="00FE1FB5" w:rsidP="0023637F"/>
        </w:tc>
      </w:tr>
      <w:tr w:rsidR="00FE1FB5" w:rsidRPr="00E0410C" w:rsidTr="0023637F">
        <w:tc>
          <w:tcPr>
            <w:tcW w:w="1816" w:type="dxa"/>
          </w:tcPr>
          <w:p w:rsidR="00FE1FB5" w:rsidRPr="00E0410C" w:rsidRDefault="00FE1FB5" w:rsidP="0023637F">
            <w:r w:rsidRPr="00E0410C">
              <w:t>Postać / skład</w:t>
            </w:r>
          </w:p>
        </w:tc>
        <w:tc>
          <w:tcPr>
            <w:tcW w:w="8811" w:type="dxa"/>
          </w:tcPr>
          <w:p w:rsidR="00FE1FB5" w:rsidRPr="00E0410C" w:rsidRDefault="00FE1FB5" w:rsidP="0023637F">
            <w:r w:rsidRPr="00E0410C">
              <w:t>Maść; sól sodowa diklofenaku</w:t>
            </w:r>
          </w:p>
        </w:tc>
      </w:tr>
      <w:tr w:rsidR="00FE1FB5" w:rsidRPr="00E0410C" w:rsidTr="0023637F">
        <w:tc>
          <w:tcPr>
            <w:tcW w:w="1816" w:type="dxa"/>
          </w:tcPr>
          <w:p w:rsidR="00FE1FB5" w:rsidRPr="00E0410C" w:rsidRDefault="00FE1FB5" w:rsidP="0023637F">
            <w:r w:rsidRPr="00E0410C">
              <w:t>Wskazania</w:t>
            </w:r>
          </w:p>
        </w:tc>
        <w:tc>
          <w:tcPr>
            <w:tcW w:w="8811" w:type="dxa"/>
          </w:tcPr>
          <w:p w:rsidR="00FE1FB5" w:rsidRPr="00E0410C" w:rsidRDefault="00FE1FB5" w:rsidP="0023637F">
            <w:r w:rsidRPr="00E0410C">
              <w:t xml:space="preserve">Działanie przeciwzapalne, przeciwbólowe, przeciwobrzękowe. Pourazowe stany zapalne ścięgien, więzadeł, mięśni i stawów (np. powstałych wskutek skręceń, </w:t>
            </w:r>
            <w:r w:rsidR="00D41AFE" w:rsidRPr="00E0410C">
              <w:t>nadwyrężeń</w:t>
            </w:r>
            <w:r w:rsidRPr="00E0410C">
              <w:t xml:space="preserve"> lub stłuczeń), bóle pleców, ograniczone stany zapalne tkanek miękkich (takie, jak zapalenie ścięgien, czy łokieć tenisisty), ograniczone i łagodne stany zapalne stawów.</w:t>
            </w:r>
          </w:p>
        </w:tc>
      </w:tr>
      <w:tr w:rsidR="00FE1FB5" w:rsidRPr="00E0410C" w:rsidTr="0023637F">
        <w:tc>
          <w:tcPr>
            <w:tcW w:w="1816" w:type="dxa"/>
          </w:tcPr>
          <w:p w:rsidR="00FE1FB5" w:rsidRPr="00E0410C" w:rsidRDefault="00FE1FB5" w:rsidP="0023637F">
            <w:r w:rsidRPr="00E0410C">
              <w:t>Dawkowanie</w:t>
            </w:r>
          </w:p>
        </w:tc>
        <w:tc>
          <w:tcPr>
            <w:tcW w:w="8811" w:type="dxa"/>
          </w:tcPr>
          <w:p w:rsidR="00FE1FB5" w:rsidRPr="00E0410C" w:rsidRDefault="00FE1FB5" w:rsidP="0023637F">
            <w:r w:rsidRPr="00E0410C">
              <w:t>Miejscowo na skórę, 3-4 razy na dobę, delikatnie wcierając. Ilość zużytego żelu należy dostosować do rozmiarów bolesnego miejsca.</w:t>
            </w:r>
          </w:p>
        </w:tc>
      </w:tr>
      <w:tr w:rsidR="00FE1FB5" w:rsidRPr="00E0410C" w:rsidTr="0023637F">
        <w:tc>
          <w:tcPr>
            <w:tcW w:w="1816" w:type="dxa"/>
          </w:tcPr>
          <w:p w:rsidR="00FE1FB5" w:rsidRPr="00E0410C" w:rsidRDefault="00FE1FB5" w:rsidP="0023637F">
            <w:r w:rsidRPr="00E0410C">
              <w:t>Działania niepożądane</w:t>
            </w:r>
          </w:p>
        </w:tc>
        <w:tc>
          <w:tcPr>
            <w:tcW w:w="8811" w:type="dxa"/>
          </w:tcPr>
          <w:p w:rsidR="00FE1FB5" w:rsidRPr="00E0410C" w:rsidRDefault="00FE1FB5" w:rsidP="0023637F">
            <w:r w:rsidRPr="00E0410C">
              <w:t>Często: wysypka, wyprysk, rumień, zapalenie skóry (w tym kontaktowe zapalenie skóry).</w:t>
            </w:r>
          </w:p>
        </w:tc>
      </w:tr>
      <w:tr w:rsidR="00FE1FB5" w:rsidRPr="00E0410C" w:rsidTr="0023637F">
        <w:tc>
          <w:tcPr>
            <w:tcW w:w="1816" w:type="dxa"/>
          </w:tcPr>
          <w:p w:rsidR="00FE1FB5" w:rsidRPr="00E0410C" w:rsidRDefault="00FE1FB5" w:rsidP="0023637F">
            <w:r w:rsidRPr="00E0410C">
              <w:t>Środki ostrożności</w:t>
            </w:r>
          </w:p>
        </w:tc>
        <w:tc>
          <w:tcPr>
            <w:tcW w:w="8811" w:type="dxa"/>
          </w:tcPr>
          <w:p w:rsidR="00FE1FB5" w:rsidRPr="00E0410C" w:rsidRDefault="00FE1FB5" w:rsidP="0023637F">
            <w:r w:rsidRPr="00E0410C">
              <w:t>Uwaga! Po zastosowaniu produktu leczniczego należy umyć ręce, chyba że to właśnie ręce są miejscem leczonym. Należy unikać kontaktu żelu z oczami i błoną śluzową jamy ustnej. Nie stosować na uszkodzoną powierzchnię skóry. Zaleca się kontrolę lekarską po 7 dniach stosowania żelu w przypadku braku skuteczności leczenia lub z chwilą nasilenia się objawów chorobowych.</w:t>
            </w:r>
          </w:p>
        </w:tc>
      </w:tr>
      <w:tr w:rsidR="00FE1FB5" w:rsidRPr="00E0410C" w:rsidTr="0023637F">
        <w:tc>
          <w:tcPr>
            <w:tcW w:w="1816" w:type="dxa"/>
          </w:tcPr>
          <w:p w:rsidR="00FE1FB5" w:rsidRPr="00E0410C" w:rsidRDefault="00FE1FB5" w:rsidP="0023637F">
            <w:r w:rsidRPr="00E0410C">
              <w:t>Przeciwwskazania</w:t>
            </w:r>
          </w:p>
        </w:tc>
        <w:tc>
          <w:tcPr>
            <w:tcW w:w="8811" w:type="dxa"/>
          </w:tcPr>
          <w:p w:rsidR="00FE1FB5" w:rsidRPr="00E0410C" w:rsidRDefault="00FE1FB5" w:rsidP="0023637F">
            <w:r w:rsidRPr="00E0410C">
              <w:t>Lek Diklofenak Lgo nie jest zalecany do stosowania u dzieci poniżej 12 lat. Nie stosować w okresie ciąży. Nie zaleca się stosowania leku Diklofenak LGO podczas karmienia piersią.</w:t>
            </w:r>
          </w:p>
        </w:tc>
      </w:tr>
    </w:tbl>
    <w:p w:rsidR="00FE1FB5" w:rsidRPr="00E0410C" w:rsidRDefault="00FE1FB5" w:rsidP="00FE1FB5">
      <w:pPr>
        <w:rPr>
          <w:b/>
        </w:rPr>
      </w:pPr>
    </w:p>
    <w:p w:rsidR="00DB784A" w:rsidRDefault="00DB784A" w:rsidP="001D5D3E">
      <w:pPr>
        <w:rPr>
          <w:b/>
        </w:rPr>
      </w:pPr>
    </w:p>
    <w:p w:rsidR="00DB784A" w:rsidRDefault="00DB784A" w:rsidP="001D5D3E">
      <w:pPr>
        <w:rPr>
          <w:b/>
        </w:rPr>
      </w:pPr>
    </w:p>
    <w:p w:rsidR="00DB784A" w:rsidRDefault="00DB784A" w:rsidP="001D5D3E">
      <w:pPr>
        <w:rPr>
          <w:b/>
        </w:rPr>
      </w:pPr>
    </w:p>
    <w:p w:rsidR="00DB784A" w:rsidRDefault="00DB784A" w:rsidP="001D5D3E">
      <w:pPr>
        <w:rPr>
          <w:b/>
        </w:rPr>
      </w:pPr>
    </w:p>
    <w:p w:rsidR="00DB784A" w:rsidRDefault="00DB784A" w:rsidP="001D5D3E">
      <w:pPr>
        <w:rPr>
          <w:b/>
        </w:rPr>
      </w:pPr>
    </w:p>
    <w:p w:rsidR="009E19CA" w:rsidRDefault="009E19CA" w:rsidP="001D5D3E">
      <w:pPr>
        <w:rPr>
          <w:b/>
        </w:rPr>
      </w:pPr>
    </w:p>
    <w:p w:rsidR="001D5D3E" w:rsidRDefault="001D5D3E" w:rsidP="001D5D3E">
      <w:pPr>
        <w:rPr>
          <w:b/>
        </w:rPr>
      </w:pPr>
      <w:r>
        <w:rPr>
          <w:b/>
        </w:rPr>
        <w:lastRenderedPageBreak/>
        <w:t>PREPARATY STOSOWANE W LECZENIU KATARU</w:t>
      </w:r>
    </w:p>
    <w:tbl>
      <w:tblPr>
        <w:tblStyle w:val="TableGrid"/>
        <w:tblW w:w="10627" w:type="dxa"/>
        <w:tblLook w:val="04A0" w:firstRow="1" w:lastRow="0" w:firstColumn="1" w:lastColumn="0" w:noHBand="0" w:noVBand="1"/>
      </w:tblPr>
      <w:tblGrid>
        <w:gridCol w:w="1816"/>
        <w:gridCol w:w="8811"/>
      </w:tblGrid>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OTRIVIN ALLERGY</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Stosuje się w leczeniu kataru</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Postać /skład</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Aerozol do nosa</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Czynnie ułatwia oczyszczenie przewodów nosowych oraz zmniejsza nadmierne wydzielanie- katar. Szybko i długotrwale zmniejsza przekrwienie błony śluzowej nosa.</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8811" w:type="dxa"/>
            <w:tcBorders>
              <w:top w:val="single" w:sz="4" w:space="0" w:color="auto"/>
              <w:left w:val="single" w:sz="4" w:space="0" w:color="auto"/>
              <w:bottom w:val="single" w:sz="4" w:space="0" w:color="auto"/>
              <w:right w:val="single" w:sz="4" w:space="0" w:color="auto"/>
            </w:tcBorders>
          </w:tcPr>
          <w:p w:rsidR="001D5D3E" w:rsidRDefault="001D5D3E">
            <w:r>
              <w:t>Dzieci i młodzież : U dzieci w wieku 6-12 lat stosować wyłącznie do nosa ( również w zapaleniu ucha środkowego). Przed zastosowaniem dokładnie oczyścić nos. Dzieci w wieku 6-12 lat- 1- 2 dawki do każdego otworu nosowego.  3 do 4 razy na dobę.</w:t>
            </w:r>
          </w:p>
          <w:p w:rsidR="001D5D3E" w:rsidRDefault="001D5D3E">
            <w:r>
              <w:t xml:space="preserve">Dzieci powyżej  12 lat i dorośli: 1-2 dawek do każdego otworu nosowego 3 do 4 razy na dobę ;ostatnią dawkę zaleca się stosować  krótko przed snem. </w:t>
            </w:r>
          </w:p>
          <w:p w:rsidR="001D5D3E" w:rsidRDefault="001D5D3E"/>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8811" w:type="dxa"/>
            <w:tcBorders>
              <w:top w:val="single" w:sz="4" w:space="0" w:color="auto"/>
              <w:left w:val="single" w:sz="4" w:space="0" w:color="auto"/>
              <w:bottom w:val="single" w:sz="4" w:space="0" w:color="auto"/>
              <w:right w:val="single" w:sz="4" w:space="0" w:color="auto"/>
            </w:tcBorders>
          </w:tcPr>
          <w:p w:rsidR="001D5D3E" w:rsidRDefault="001D5D3E">
            <w:r>
              <w:t>Mogą wystąpić następujące objawy: uczucie zmęczenia, ból brzucha, wzrost ciśnienia tętniczego , bezsenność, nudności, wymioty ,zawroty głowy .</w:t>
            </w:r>
          </w:p>
          <w:p w:rsidR="001D5D3E" w:rsidRDefault="001D5D3E">
            <w:r>
              <w:t>Dyskomfort w nosie, suchość nosa, krwawienie z nosa.</w:t>
            </w:r>
          </w:p>
          <w:p w:rsidR="001D5D3E" w:rsidRDefault="001D5D3E"/>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8811" w:type="dxa"/>
            <w:tcBorders>
              <w:top w:val="single" w:sz="4" w:space="0" w:color="auto"/>
              <w:left w:val="single" w:sz="4" w:space="0" w:color="auto"/>
              <w:bottom w:val="single" w:sz="4" w:space="0" w:color="auto"/>
              <w:right w:val="single" w:sz="4" w:space="0" w:color="auto"/>
            </w:tcBorders>
          </w:tcPr>
          <w:p w:rsidR="001D5D3E" w:rsidRDefault="001D5D3E">
            <w:r>
              <w:t xml:space="preserve">Opakowanie leku powinno być stosowane przez jednego pacjenta. </w:t>
            </w:r>
          </w:p>
          <w:p w:rsidR="001D5D3E" w:rsidRDefault="001D5D3E"/>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stosować : jeśli pacjent ma uczulenie na substancje czynne. U dzieci w wieku poniżej 6 lat i jeśli pacjent ma jaskrę. Stosować nie dłużej niż 7 kolejnych dni. Stosowanie powyżej 7 dni może spowodować  nawrót lub nasilenie objawów. Nie należy stosować dawki większej niż zalecana.Nie stosować w okresie karmienia piersią i w ciąży.</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OLBAS OIL</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Stosuje się w leczeniu kataru</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Postać /skład</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t>Płyn do inhalacji parowej,10 ml.</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 xml:space="preserve">Łagodzi objawy przeziębienia i zapalenia zatok przynosowych, upłynnia                  ( rozrzedza ) wydzielinę i zmniejsza obrzęk błony śluzowej nosa, ułatwia oddychanie. </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Dzieci od 3-7 lat : skroplić 2-3 kroplami chusteczkę do nosa ,podawać do wdychania z niewielkiej odległości. Można stosować podczas snu – skroplić fragment tkaniny 2-3 kroplami olejku i umieścić w pobliżu dziecka.  Zewnętrznie. Dorośli w bólach reumatycznych i mięśniowych. Wcierać niewielką ilość olejku w bolące miejsca do 3 razy dziennie.</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 działań niepożądanych.</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w:t>
            </w:r>
          </w:p>
        </w:tc>
      </w:tr>
      <w:tr w:rsidR="001D5D3E" w:rsidTr="00DB784A">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stosować u dzieci poniżej 3 roku życia i u osób z chorobami alergicznymi układu oddechowego i astmą. Nie stosować u dzieci i młodzieży chorujących na atopowe zapalenie skóry.</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HYSAN</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Stosowane w leczeniu kataru</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Postać /skład</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WODA MORSKA DO NOSA W AEROZOLU, 10 ml</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8811" w:type="dxa"/>
            <w:tcBorders>
              <w:top w:val="single" w:sz="4" w:space="0" w:color="auto"/>
              <w:left w:val="single" w:sz="4" w:space="0" w:color="auto"/>
              <w:bottom w:val="single" w:sz="4" w:space="0" w:color="auto"/>
              <w:right w:val="single" w:sz="4" w:space="0" w:color="auto"/>
            </w:tcBorders>
          </w:tcPr>
          <w:p w:rsidR="001D5D3E" w:rsidRDefault="001D5D3E">
            <w:r>
              <w:t>Zmniejsza obrzęk śluzówki nosa. Redukuje konieczność stosowania innych aerozoli do nosa, zmniejszających obrzęk śluzówki.</w:t>
            </w:r>
          </w:p>
          <w:p w:rsidR="001D5D3E" w:rsidRDefault="001D5D3E"/>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Trzy razy dziennie do każdego otworu nosowego.</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 . Bardzo dobra tolerancja ze względu na brak konserwantów, redukuje konieczność stosowania innych aerozoli do nos.</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8811" w:type="dxa"/>
            <w:tcBorders>
              <w:top w:val="single" w:sz="4" w:space="0" w:color="auto"/>
              <w:left w:val="single" w:sz="4" w:space="0" w:color="auto"/>
              <w:bottom w:val="single" w:sz="4" w:space="0" w:color="auto"/>
              <w:right w:val="single" w:sz="4" w:space="0" w:color="auto"/>
            </w:tcBorders>
          </w:tcPr>
          <w:p w:rsidR="001D5D3E" w:rsidRDefault="001D5D3E">
            <w:r>
              <w:t>Nie zanotowano. Preparat może być stosowany przez osoby dorosłe oraz dzieci powyżej jednego roku życia.</w:t>
            </w:r>
          </w:p>
          <w:p w:rsidR="001D5D3E" w:rsidRDefault="001D5D3E"/>
        </w:tc>
      </w:tr>
      <w:tr w:rsidR="001D5D3E" w:rsidTr="00B329AE">
        <w:tc>
          <w:tcPr>
            <w:tcW w:w="1816" w:type="dxa"/>
            <w:tcBorders>
              <w:top w:val="single" w:sz="4" w:space="0" w:color="auto"/>
              <w:left w:val="single" w:sz="4" w:space="0" w:color="auto"/>
              <w:bottom w:val="single" w:sz="4" w:space="0" w:color="auto"/>
              <w:right w:val="single" w:sz="4" w:space="0" w:color="auto"/>
            </w:tcBorders>
          </w:tcPr>
          <w:p w:rsidR="001D5D3E" w:rsidRDefault="001D5D3E">
            <w:pPr>
              <w:rPr>
                <w:b/>
              </w:rPr>
            </w:pPr>
            <w:r>
              <w:rPr>
                <w:b/>
              </w:rPr>
              <w:t>SUDAFED XyloSpray HA</w:t>
            </w:r>
          </w:p>
          <w:p w:rsidR="001D5D3E" w:rsidRDefault="001D5D3E">
            <w:pPr>
              <w:rPr>
                <w:b/>
              </w:rPr>
            </w:pP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W leczeniu kataru</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lastRenderedPageBreak/>
              <w:t>Postać /skład</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Aerosol.</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Jest lekiem obkurczającym naczynia krwionośne przez co zmniejsza obrzęk błony śluzowej nosa. Zawiera kwas hialuronowy oraz nawilża błonę śluzową nosa. Zmniejszenie obrzęku błony śluzowej ułatwia oddychanie oraz ułatwia odpływ wydzieliny. Kwas hialuronowy chroni i nawilża błonę śluzową nosa. Wskazany w leczeniu ostrego zapalenia błony śluzowej i w alergicznym zapaleniu błony  śluzowej nosa . Ułatwia odpływ wydzieliny w zapaleniu zatok przynosowych oraz w  zapaleniu trąbki słuchowej ucha środkowego ,połączonego z przeziębieniem.</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U dorosłych i dzieci powyżej 6 lat stosuje się jedną dawkę do każdego otworu nosowego 3 razy na dobę. Początek działania leku występuje zwykle w ciągu      5- 10 minut po podaniu .</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Nie zanotowano.</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 xml:space="preserve"> Nie należy stosować dłużej niż przez 5 dni.</w:t>
            </w:r>
          </w:p>
        </w:tc>
      </w:tr>
      <w:tr w:rsidR="001D5D3E" w:rsidTr="00B329A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8811" w:type="dxa"/>
            <w:tcBorders>
              <w:top w:val="single" w:sz="4" w:space="0" w:color="auto"/>
              <w:left w:val="single" w:sz="4" w:space="0" w:color="auto"/>
              <w:bottom w:val="single" w:sz="4" w:space="0" w:color="auto"/>
              <w:right w:val="single" w:sz="4" w:space="0" w:color="auto"/>
            </w:tcBorders>
            <w:hideMark/>
          </w:tcPr>
          <w:p w:rsidR="001D5D3E" w:rsidRDefault="001D5D3E">
            <w:r>
              <w:t>Przeciwwskazany u niemowląt i dzieci poniżej 6 lat i kobiet ciężarnych i podczas karmienia piersią oraz u pacjentów uczulonych na substancje czynne.</w:t>
            </w:r>
          </w:p>
        </w:tc>
      </w:tr>
    </w:tbl>
    <w:p w:rsidR="001D5D3E" w:rsidRDefault="001D5D3E" w:rsidP="001D5D3E"/>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D342C4" w:rsidRDefault="00D342C4" w:rsidP="001D5D3E">
      <w:pPr>
        <w:rPr>
          <w:b/>
        </w:rPr>
      </w:pPr>
    </w:p>
    <w:p w:rsidR="00B329AE" w:rsidRDefault="00B329AE" w:rsidP="001D5D3E">
      <w:pPr>
        <w:rPr>
          <w:b/>
        </w:rPr>
      </w:pPr>
    </w:p>
    <w:p w:rsidR="00B329AE" w:rsidRDefault="00B329AE" w:rsidP="001D5D3E">
      <w:pPr>
        <w:rPr>
          <w:b/>
        </w:rPr>
      </w:pPr>
    </w:p>
    <w:p w:rsidR="00B329AE" w:rsidRDefault="00B329AE" w:rsidP="001D5D3E">
      <w:pPr>
        <w:rPr>
          <w:b/>
        </w:rPr>
      </w:pPr>
    </w:p>
    <w:p w:rsidR="001D5D3E" w:rsidRDefault="001D5D3E" w:rsidP="001D5D3E">
      <w:pPr>
        <w:rPr>
          <w:b/>
        </w:rPr>
      </w:pPr>
      <w:r>
        <w:rPr>
          <w:b/>
        </w:rPr>
        <w:lastRenderedPageBreak/>
        <w:t>PREPARATY STOSOWANE W SCHORZENIACH DRÓG MOCZOWYCH</w:t>
      </w:r>
    </w:p>
    <w:tbl>
      <w:tblPr>
        <w:tblStyle w:val="TableGrid"/>
        <w:tblW w:w="0" w:type="auto"/>
        <w:tblLook w:val="04A0" w:firstRow="1" w:lastRow="0" w:firstColumn="1" w:lastColumn="0" w:noHBand="0" w:noVBand="1"/>
      </w:tblPr>
      <w:tblGrid>
        <w:gridCol w:w="1816"/>
        <w:gridCol w:w="7472"/>
      </w:tblGrid>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FUROSEMIDUM</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Diuretyk stosowany w leczeniu obrzęków ,niewydolnością krążenia, marskością wątroby i chorobami nerek</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Postać /skład</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Tabletki.</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Wskazany w leczeniu obrzęków u dzieci i dorosłych związanych z zastoinową niewydolnością krążenia, marskością wątroby i chorobami nerek. Gdy wskazane jest zastosowanie leków moczopędnych o silnym i szybkim działaniu. Zwiększa wydalanie potasu, wapnia i magnezu. Zmniejsza wydalanie kwasu moczowego. Obniża ciśnienie krwi.</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Początek działania leku występuje w 1 godzinie po podaniu, działanie moczopędne utrzymuje się przez 6-8 godzin. Doustnie. Dorośli, rano 40-80 mg- początkowa dawka, w długotrwałym leczeniu 1-2 razy/ na dobę. W przewlekłej niewydolności nerek stosowana dawka do 4 razy na dobę .</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Mogą wystąpić nudności, wymioty, zaparcia, biegunki ,żółtaczka, bóle ,zawroty głowy, pokrzywka, wysypka, nadwrażliwość na światło, częstomocz.</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Lek może być stosowany w ciąży krótkotrwale i pod kontrolą lekarską. U pacjentów w podeszłym wieku furosemidum  jest wolniej eliminowany z organizmu.</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 xml:space="preserve">Nadwrażliwość na składniki preparatu. Bezmocz, stany przedśpiączkowe spowodowane marskością wątroby. </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Żuravit</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pPr>
              <w:rPr>
                <w:b/>
              </w:rPr>
            </w:pPr>
            <w:r>
              <w:rPr>
                <w:b/>
              </w:rPr>
              <w:t>Polecany do codziennego wspomagania dróg moczowych. Wspomaga prawidłowe funkcjonowanie układu moczowego</w:t>
            </w:r>
            <w:r>
              <w:t>.</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Postać /skład</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kapsułki</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Wskazania</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Wspomaga prawidłowe funkcjonowanie dróg moczowych i układu moczowego.</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Dawkowanie</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 xml:space="preserve">Doustnie , 1 kapsułka trzy razy na dobę przez pierwsze trzy dni, następnie 1 kapsułka jeden raz dziennie.  </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Działania niepożądane</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Nie zanotowano.</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Środki ostrożności</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Nie należy przekraczać zalecanej dziennej dawki. Chronić  od wilgoci i światła.</w:t>
            </w:r>
          </w:p>
        </w:tc>
      </w:tr>
      <w:tr w:rsidR="001D5D3E" w:rsidTr="001D5D3E">
        <w:tc>
          <w:tcPr>
            <w:tcW w:w="1816" w:type="dxa"/>
            <w:tcBorders>
              <w:top w:val="single" w:sz="4" w:space="0" w:color="auto"/>
              <w:left w:val="single" w:sz="4" w:space="0" w:color="auto"/>
              <w:bottom w:val="single" w:sz="4" w:space="0" w:color="auto"/>
              <w:right w:val="single" w:sz="4" w:space="0" w:color="auto"/>
            </w:tcBorders>
            <w:hideMark/>
          </w:tcPr>
          <w:p w:rsidR="001D5D3E" w:rsidRDefault="001D5D3E">
            <w:r>
              <w:t>Przeciwwskazania</w:t>
            </w:r>
          </w:p>
        </w:tc>
        <w:tc>
          <w:tcPr>
            <w:tcW w:w="7472" w:type="dxa"/>
            <w:tcBorders>
              <w:top w:val="single" w:sz="4" w:space="0" w:color="auto"/>
              <w:left w:val="single" w:sz="4" w:space="0" w:color="auto"/>
              <w:bottom w:val="single" w:sz="4" w:space="0" w:color="auto"/>
              <w:right w:val="single" w:sz="4" w:space="0" w:color="auto"/>
            </w:tcBorders>
            <w:hideMark/>
          </w:tcPr>
          <w:p w:rsidR="001D5D3E" w:rsidRDefault="001D5D3E">
            <w:r>
              <w:t>Nie zanotowano.</w:t>
            </w:r>
          </w:p>
        </w:tc>
      </w:tr>
    </w:tbl>
    <w:p w:rsidR="001D5D3E" w:rsidRDefault="001D5D3E" w:rsidP="001D5D3E">
      <w:bookmarkStart w:id="0" w:name="_GoBack"/>
      <w:bookmarkEnd w:id="0"/>
    </w:p>
    <w:p w:rsidR="001D5D3E" w:rsidRDefault="001D5D3E" w:rsidP="001D5D3E"/>
    <w:p w:rsidR="001D5D3E" w:rsidRDefault="001D5D3E" w:rsidP="001D5D3E"/>
    <w:p w:rsidR="001D5D3E" w:rsidRDefault="001D5D3E" w:rsidP="001D5D3E"/>
    <w:p w:rsidR="001D5D3E" w:rsidRDefault="001D5D3E" w:rsidP="001D5D3E"/>
    <w:p w:rsidR="00FE1FB5" w:rsidRPr="00E0410C" w:rsidRDefault="00FE1FB5" w:rsidP="00FE1FB5"/>
    <w:sectPr w:rsidR="00FE1FB5" w:rsidRPr="00E0410C" w:rsidSect="00336CC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FB" w:rsidRDefault="005449FB" w:rsidP="00DB784A">
      <w:pPr>
        <w:spacing w:after="0" w:line="240" w:lineRule="auto"/>
      </w:pPr>
      <w:r>
        <w:separator/>
      </w:r>
    </w:p>
  </w:endnote>
  <w:endnote w:type="continuationSeparator" w:id="0">
    <w:p w:rsidR="005449FB" w:rsidRDefault="005449FB" w:rsidP="00DB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156613"/>
      <w:docPartObj>
        <w:docPartGallery w:val="Page Numbers (Bottom of Page)"/>
        <w:docPartUnique/>
      </w:docPartObj>
    </w:sdtPr>
    <w:sdtEndPr/>
    <w:sdtContent>
      <w:p w:rsidR="00DB784A" w:rsidRDefault="00DB784A">
        <w:pPr>
          <w:pStyle w:val="Footer"/>
          <w:jc w:val="center"/>
        </w:pPr>
        <w:r>
          <w:fldChar w:fldCharType="begin"/>
        </w:r>
        <w:r>
          <w:instrText>PAGE   \* MERGEFORMAT</w:instrText>
        </w:r>
        <w:r>
          <w:fldChar w:fldCharType="separate"/>
        </w:r>
        <w:r w:rsidR="009E19CA">
          <w:rPr>
            <w:noProof/>
          </w:rPr>
          <w:t>15</w:t>
        </w:r>
        <w:r>
          <w:fldChar w:fldCharType="end"/>
        </w:r>
      </w:p>
    </w:sdtContent>
  </w:sdt>
  <w:p w:rsidR="00DB784A" w:rsidRDefault="00DB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FB" w:rsidRDefault="005449FB" w:rsidP="00DB784A">
      <w:pPr>
        <w:spacing w:after="0" w:line="240" w:lineRule="auto"/>
      </w:pPr>
      <w:r>
        <w:separator/>
      </w:r>
    </w:p>
  </w:footnote>
  <w:footnote w:type="continuationSeparator" w:id="0">
    <w:p w:rsidR="005449FB" w:rsidRDefault="005449FB" w:rsidP="00DB7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0C"/>
    <w:multiLevelType w:val="multilevel"/>
    <w:tmpl w:val="8B60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D2B09"/>
    <w:multiLevelType w:val="multilevel"/>
    <w:tmpl w:val="474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230A3"/>
    <w:multiLevelType w:val="multilevel"/>
    <w:tmpl w:val="22D4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501A7"/>
    <w:multiLevelType w:val="multilevel"/>
    <w:tmpl w:val="243C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B6EF5"/>
    <w:multiLevelType w:val="multilevel"/>
    <w:tmpl w:val="01C8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01227"/>
    <w:multiLevelType w:val="multilevel"/>
    <w:tmpl w:val="3CB2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97BEA"/>
    <w:multiLevelType w:val="multilevel"/>
    <w:tmpl w:val="2872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26576"/>
    <w:multiLevelType w:val="multilevel"/>
    <w:tmpl w:val="68E4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06E38"/>
    <w:multiLevelType w:val="multilevel"/>
    <w:tmpl w:val="339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14A2F"/>
    <w:multiLevelType w:val="multilevel"/>
    <w:tmpl w:val="5E5A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F62D6"/>
    <w:multiLevelType w:val="multilevel"/>
    <w:tmpl w:val="D79A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2347A"/>
    <w:multiLevelType w:val="multilevel"/>
    <w:tmpl w:val="D2B0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687A28"/>
    <w:multiLevelType w:val="multilevel"/>
    <w:tmpl w:val="514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A37138"/>
    <w:multiLevelType w:val="multilevel"/>
    <w:tmpl w:val="6282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E0FDE"/>
    <w:multiLevelType w:val="multilevel"/>
    <w:tmpl w:val="ED24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7799B"/>
    <w:multiLevelType w:val="multilevel"/>
    <w:tmpl w:val="EAD8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614F2"/>
    <w:multiLevelType w:val="multilevel"/>
    <w:tmpl w:val="812E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0B5281"/>
    <w:multiLevelType w:val="multilevel"/>
    <w:tmpl w:val="A68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0401B"/>
    <w:multiLevelType w:val="multilevel"/>
    <w:tmpl w:val="030C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662028"/>
    <w:multiLevelType w:val="multilevel"/>
    <w:tmpl w:val="A478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6D53FC"/>
    <w:multiLevelType w:val="multilevel"/>
    <w:tmpl w:val="736A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AE5C38"/>
    <w:multiLevelType w:val="multilevel"/>
    <w:tmpl w:val="4A90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017A7"/>
    <w:multiLevelType w:val="multilevel"/>
    <w:tmpl w:val="10169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5F778C"/>
    <w:multiLevelType w:val="hybridMultilevel"/>
    <w:tmpl w:val="2C785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EC6095"/>
    <w:multiLevelType w:val="multilevel"/>
    <w:tmpl w:val="189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45BFC"/>
    <w:multiLevelType w:val="multilevel"/>
    <w:tmpl w:val="4C8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14512"/>
    <w:multiLevelType w:val="multilevel"/>
    <w:tmpl w:val="EF84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2"/>
  </w:num>
  <w:num w:numId="4">
    <w:abstractNumId w:val="1"/>
  </w:num>
  <w:num w:numId="5">
    <w:abstractNumId w:val="15"/>
  </w:num>
  <w:num w:numId="6">
    <w:abstractNumId w:val="12"/>
  </w:num>
  <w:num w:numId="7">
    <w:abstractNumId w:val="4"/>
  </w:num>
  <w:num w:numId="8">
    <w:abstractNumId w:val="16"/>
  </w:num>
  <w:num w:numId="9">
    <w:abstractNumId w:val="14"/>
  </w:num>
  <w:num w:numId="10">
    <w:abstractNumId w:val="26"/>
  </w:num>
  <w:num w:numId="11">
    <w:abstractNumId w:val="11"/>
  </w:num>
  <w:num w:numId="12">
    <w:abstractNumId w:val="5"/>
  </w:num>
  <w:num w:numId="13">
    <w:abstractNumId w:val="2"/>
  </w:num>
  <w:num w:numId="14">
    <w:abstractNumId w:val="9"/>
  </w:num>
  <w:num w:numId="15">
    <w:abstractNumId w:val="23"/>
  </w:num>
  <w:num w:numId="16">
    <w:abstractNumId w:val="7"/>
  </w:num>
  <w:num w:numId="17">
    <w:abstractNumId w:val="3"/>
  </w:num>
  <w:num w:numId="18">
    <w:abstractNumId w:val="10"/>
  </w:num>
  <w:num w:numId="19">
    <w:abstractNumId w:val="24"/>
  </w:num>
  <w:num w:numId="20">
    <w:abstractNumId w:val="17"/>
  </w:num>
  <w:num w:numId="21">
    <w:abstractNumId w:val="0"/>
  </w:num>
  <w:num w:numId="22">
    <w:abstractNumId w:val="25"/>
  </w:num>
  <w:num w:numId="23">
    <w:abstractNumId w:val="20"/>
  </w:num>
  <w:num w:numId="24">
    <w:abstractNumId w:val="21"/>
  </w:num>
  <w:num w:numId="25">
    <w:abstractNumId w:val="13"/>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4F"/>
    <w:rsid w:val="000169BB"/>
    <w:rsid w:val="000338E8"/>
    <w:rsid w:val="0005799E"/>
    <w:rsid w:val="000747B5"/>
    <w:rsid w:val="000A0BA5"/>
    <w:rsid w:val="00113BEE"/>
    <w:rsid w:val="00137974"/>
    <w:rsid w:val="00153C61"/>
    <w:rsid w:val="001D1660"/>
    <w:rsid w:val="001D5D3E"/>
    <w:rsid w:val="001E599B"/>
    <w:rsid w:val="0023637F"/>
    <w:rsid w:val="00251258"/>
    <w:rsid w:val="00252522"/>
    <w:rsid w:val="00262789"/>
    <w:rsid w:val="00270186"/>
    <w:rsid w:val="002F6FAE"/>
    <w:rsid w:val="00336CC5"/>
    <w:rsid w:val="0039117E"/>
    <w:rsid w:val="00396EF7"/>
    <w:rsid w:val="003C1887"/>
    <w:rsid w:val="003D0182"/>
    <w:rsid w:val="004245B6"/>
    <w:rsid w:val="00435459"/>
    <w:rsid w:val="00451B4A"/>
    <w:rsid w:val="004A775C"/>
    <w:rsid w:val="004B2F1E"/>
    <w:rsid w:val="004D71CA"/>
    <w:rsid w:val="00510AF4"/>
    <w:rsid w:val="00523D15"/>
    <w:rsid w:val="005449FB"/>
    <w:rsid w:val="005A4957"/>
    <w:rsid w:val="005C0004"/>
    <w:rsid w:val="005F2A1E"/>
    <w:rsid w:val="006212B6"/>
    <w:rsid w:val="006627F8"/>
    <w:rsid w:val="006A4F64"/>
    <w:rsid w:val="006C0BCA"/>
    <w:rsid w:val="00740A98"/>
    <w:rsid w:val="00745217"/>
    <w:rsid w:val="00792D83"/>
    <w:rsid w:val="00795C6D"/>
    <w:rsid w:val="008037B6"/>
    <w:rsid w:val="00836F5A"/>
    <w:rsid w:val="00893CA8"/>
    <w:rsid w:val="008D6574"/>
    <w:rsid w:val="008E6C27"/>
    <w:rsid w:val="00956694"/>
    <w:rsid w:val="009856E9"/>
    <w:rsid w:val="009A48A0"/>
    <w:rsid w:val="009B3469"/>
    <w:rsid w:val="009E19CA"/>
    <w:rsid w:val="009F23E4"/>
    <w:rsid w:val="009F5FE0"/>
    <w:rsid w:val="00A50AA1"/>
    <w:rsid w:val="00A959EA"/>
    <w:rsid w:val="00AB0ACF"/>
    <w:rsid w:val="00B329AE"/>
    <w:rsid w:val="00B97766"/>
    <w:rsid w:val="00BC0B8E"/>
    <w:rsid w:val="00BE1EAE"/>
    <w:rsid w:val="00BE72EC"/>
    <w:rsid w:val="00BF5A94"/>
    <w:rsid w:val="00C661B2"/>
    <w:rsid w:val="00C73378"/>
    <w:rsid w:val="00C96875"/>
    <w:rsid w:val="00CC0D7A"/>
    <w:rsid w:val="00CE4351"/>
    <w:rsid w:val="00D342C4"/>
    <w:rsid w:val="00D41AFE"/>
    <w:rsid w:val="00D42435"/>
    <w:rsid w:val="00D50999"/>
    <w:rsid w:val="00D52F9D"/>
    <w:rsid w:val="00D53935"/>
    <w:rsid w:val="00DB784A"/>
    <w:rsid w:val="00E0410C"/>
    <w:rsid w:val="00E43E6A"/>
    <w:rsid w:val="00E74455"/>
    <w:rsid w:val="00E84D4F"/>
    <w:rsid w:val="00EB74FC"/>
    <w:rsid w:val="00EF16B1"/>
    <w:rsid w:val="00F05B38"/>
    <w:rsid w:val="00FC6E61"/>
    <w:rsid w:val="00FE1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CE7C-63D8-458E-983E-0D18A0B7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037B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11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4Char">
    <w:name w:val="Heading 4 Char"/>
    <w:basedOn w:val="DefaultParagraphFont"/>
    <w:link w:val="Heading4"/>
    <w:uiPriority w:val="9"/>
    <w:rsid w:val="008037B6"/>
    <w:rPr>
      <w:rFonts w:ascii="Times New Roman" w:eastAsia="Times New Roman" w:hAnsi="Times New Roman" w:cs="Times New Roman"/>
      <w:b/>
      <w:bCs/>
      <w:sz w:val="24"/>
      <w:szCs w:val="24"/>
      <w:lang w:eastAsia="pl-PL"/>
    </w:rPr>
  </w:style>
  <w:style w:type="character" w:styleId="Strong">
    <w:name w:val="Strong"/>
    <w:basedOn w:val="DefaultParagraphFont"/>
    <w:uiPriority w:val="22"/>
    <w:qFormat/>
    <w:rsid w:val="008037B6"/>
    <w:rPr>
      <w:b/>
      <w:bCs/>
    </w:rPr>
  </w:style>
  <w:style w:type="paragraph" w:styleId="ListParagraph">
    <w:name w:val="List Paragraph"/>
    <w:basedOn w:val="Normal"/>
    <w:uiPriority w:val="34"/>
    <w:qFormat/>
    <w:rsid w:val="006627F8"/>
    <w:pPr>
      <w:ind w:left="720"/>
      <w:contextualSpacing/>
    </w:pPr>
  </w:style>
  <w:style w:type="character" w:customStyle="1" w:styleId="b">
    <w:name w:val="b"/>
    <w:basedOn w:val="DefaultParagraphFont"/>
    <w:rsid w:val="00C73378"/>
  </w:style>
  <w:style w:type="paragraph" w:styleId="Header">
    <w:name w:val="header"/>
    <w:basedOn w:val="Normal"/>
    <w:link w:val="HeaderChar"/>
    <w:uiPriority w:val="99"/>
    <w:unhideWhenUsed/>
    <w:rsid w:val="00DB78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784A"/>
  </w:style>
  <w:style w:type="paragraph" w:styleId="Footer">
    <w:name w:val="footer"/>
    <w:basedOn w:val="Normal"/>
    <w:link w:val="FooterChar"/>
    <w:uiPriority w:val="99"/>
    <w:unhideWhenUsed/>
    <w:rsid w:val="00DB78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784A"/>
  </w:style>
  <w:style w:type="paragraph" w:styleId="BalloonText">
    <w:name w:val="Balloon Text"/>
    <w:basedOn w:val="Normal"/>
    <w:link w:val="BalloonTextChar"/>
    <w:uiPriority w:val="99"/>
    <w:semiHidden/>
    <w:unhideWhenUsed/>
    <w:rsid w:val="0025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14663">
      <w:bodyDiv w:val="1"/>
      <w:marLeft w:val="0"/>
      <w:marRight w:val="0"/>
      <w:marTop w:val="0"/>
      <w:marBottom w:val="0"/>
      <w:divBdr>
        <w:top w:val="none" w:sz="0" w:space="0" w:color="auto"/>
        <w:left w:val="none" w:sz="0" w:space="0" w:color="auto"/>
        <w:bottom w:val="none" w:sz="0" w:space="0" w:color="auto"/>
        <w:right w:val="none" w:sz="0" w:space="0" w:color="auto"/>
      </w:divBdr>
    </w:div>
    <w:div w:id="21119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4937</Words>
  <Characters>29624</Characters>
  <Application>Microsoft Office Word</Application>
  <DocSecurity>0</DocSecurity>
  <Lines>246</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Lipinska</dc:creator>
  <cp:keywords/>
  <dc:description/>
  <cp:lastModifiedBy>Użytkownik systemu Windows</cp:lastModifiedBy>
  <cp:revision>15</cp:revision>
  <cp:lastPrinted>2016-06-01T14:14:00Z</cp:lastPrinted>
  <dcterms:created xsi:type="dcterms:W3CDTF">2016-05-30T07:46:00Z</dcterms:created>
  <dcterms:modified xsi:type="dcterms:W3CDTF">2019-02-14T12:58:00Z</dcterms:modified>
</cp:coreProperties>
</file>